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C59F8" w14:textId="77777777" w:rsidR="00AB78EA" w:rsidRDefault="00AB78EA"/>
    <w:p w14:paraId="6B2478ED" w14:textId="77777777" w:rsidR="00AB78EA" w:rsidRDefault="00AB78EA" w:rsidP="00AB78EA"/>
    <w:p w14:paraId="7140036C" w14:textId="419B3860" w:rsidR="00AB78EA" w:rsidRDefault="009D35CB" w:rsidP="00AB78EA">
      <w:r>
        <w:rPr>
          <w:noProof/>
        </w:rPr>
        <w:drawing>
          <wp:anchor distT="0" distB="0" distL="114300" distR="114300" simplePos="0" relativeHeight="251678720" behindDoc="0" locked="0" layoutInCell="1" allowOverlap="1" wp14:anchorId="7ACE95E9" wp14:editId="625A0015">
            <wp:simplePos x="0" y="0"/>
            <wp:positionH relativeFrom="column">
              <wp:posOffset>57150</wp:posOffset>
            </wp:positionH>
            <wp:positionV relativeFrom="paragraph">
              <wp:posOffset>128270</wp:posOffset>
            </wp:positionV>
            <wp:extent cx="1400175" cy="6762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676275"/>
                    </a:xfrm>
                    <a:prstGeom prst="rect">
                      <a:avLst/>
                    </a:prstGeom>
                    <a:noFill/>
                    <a:ln>
                      <a:noFill/>
                    </a:ln>
                  </pic:spPr>
                </pic:pic>
              </a:graphicData>
            </a:graphic>
          </wp:anchor>
        </w:drawing>
      </w:r>
    </w:p>
    <w:p w14:paraId="3FD032A8" w14:textId="77777777" w:rsidR="00AB78EA" w:rsidRDefault="00AB78EA" w:rsidP="00AB78EA"/>
    <w:p w14:paraId="31342A94" w14:textId="77777777" w:rsidR="00AB78EA" w:rsidRDefault="00AB78EA" w:rsidP="00AB78EA"/>
    <w:p w14:paraId="3952378C" w14:textId="77777777" w:rsidR="00AB78EA" w:rsidRDefault="00AB78EA" w:rsidP="00AB78EA"/>
    <w:p w14:paraId="2229D026" w14:textId="77777777" w:rsidR="00AB78EA" w:rsidRDefault="00AB78EA" w:rsidP="00AB78EA"/>
    <w:p w14:paraId="392316ED" w14:textId="77777777" w:rsidR="00AB78EA" w:rsidRDefault="00AB78EA" w:rsidP="00AB78EA"/>
    <w:p w14:paraId="53950350" w14:textId="75024038" w:rsidR="00AB78EA" w:rsidRPr="009A2D80" w:rsidRDefault="00AA0A69" w:rsidP="00AB78EA">
      <w:pPr>
        <w:ind w:left="0"/>
        <w:rPr>
          <w:rFonts w:ascii="Calibri" w:hAnsi="Calibri"/>
          <w:b/>
          <w:sz w:val="48"/>
          <w:szCs w:val="48"/>
        </w:rPr>
      </w:pPr>
      <w:r>
        <w:rPr>
          <w:rFonts w:ascii="Calibri" w:hAnsi="Calibri"/>
          <w:b/>
          <w:sz w:val="48"/>
          <w:szCs w:val="48"/>
        </w:rPr>
        <w:t xml:space="preserve">Approach to </w:t>
      </w:r>
      <w:r w:rsidR="009F6743">
        <w:rPr>
          <w:rFonts w:ascii="Calibri" w:hAnsi="Calibri"/>
          <w:b/>
          <w:sz w:val="48"/>
          <w:szCs w:val="48"/>
        </w:rPr>
        <w:t xml:space="preserve">Implementation for MiFID II Costs </w:t>
      </w:r>
      <w:r>
        <w:rPr>
          <w:rFonts w:ascii="Calibri" w:hAnsi="Calibri"/>
          <w:b/>
          <w:sz w:val="48"/>
          <w:szCs w:val="48"/>
        </w:rPr>
        <w:t>&amp;</w:t>
      </w:r>
      <w:r w:rsidR="009F6743">
        <w:rPr>
          <w:rFonts w:ascii="Calibri" w:hAnsi="Calibri"/>
          <w:b/>
          <w:sz w:val="48"/>
          <w:szCs w:val="48"/>
        </w:rPr>
        <w:t xml:space="preserve"> Charges Disclosures </w:t>
      </w:r>
    </w:p>
    <w:p w14:paraId="16ACF10D" w14:textId="77777777" w:rsidR="00341BEC" w:rsidRDefault="00341BEC" w:rsidP="00AB78EA"/>
    <w:p w14:paraId="03A8432A" w14:textId="77777777" w:rsidR="00AB78EA" w:rsidRDefault="00AB78EA" w:rsidP="00AB78EA"/>
    <w:p w14:paraId="692541A7" w14:textId="77777777" w:rsidR="00AB78EA" w:rsidRDefault="00AB78EA" w:rsidP="00AB78EA"/>
    <w:p w14:paraId="555481A1" w14:textId="77777777" w:rsidR="00AB78EA" w:rsidRDefault="00AB78EA" w:rsidP="00AB78EA"/>
    <w:p w14:paraId="25FDCECA" w14:textId="77777777" w:rsidR="00AB78EA" w:rsidRDefault="00AB78EA" w:rsidP="00AB78EA"/>
    <w:p w14:paraId="14F2D1EF" w14:textId="77777777" w:rsidR="00AB78EA" w:rsidRDefault="00AB78EA" w:rsidP="00AB78EA"/>
    <w:p w14:paraId="426C7A4B" w14:textId="77777777" w:rsidR="00AB78EA" w:rsidRDefault="00AB78EA" w:rsidP="00AB78EA"/>
    <w:p w14:paraId="569C5920" w14:textId="77777777" w:rsidR="00AB78EA" w:rsidRDefault="00AB78EA" w:rsidP="00AB78EA"/>
    <w:p w14:paraId="4713FE36" w14:textId="77777777" w:rsidR="00AB78EA" w:rsidRDefault="00AB78EA" w:rsidP="00AB78EA"/>
    <w:p w14:paraId="650C326F" w14:textId="77777777" w:rsidR="00AB78EA" w:rsidRDefault="00AB78EA" w:rsidP="00AB78EA"/>
    <w:p w14:paraId="1FF7BDD8" w14:textId="77777777" w:rsidR="00AB78EA" w:rsidRDefault="00AB78EA" w:rsidP="00AB78EA"/>
    <w:p w14:paraId="7E3AC20F" w14:textId="77777777" w:rsidR="00AB78EA" w:rsidRDefault="00AB78EA" w:rsidP="00AB78EA"/>
    <w:p w14:paraId="2F33BB4D" w14:textId="77777777" w:rsidR="00AB78EA" w:rsidRDefault="00AB78EA" w:rsidP="00AB78EA"/>
    <w:p w14:paraId="20AD7592" w14:textId="77777777" w:rsidR="00742DBF" w:rsidRDefault="00742DBF" w:rsidP="00AB78EA"/>
    <w:p w14:paraId="39841A3C" w14:textId="77777777" w:rsidR="00742DBF" w:rsidRDefault="00742DBF" w:rsidP="00AB78EA"/>
    <w:p w14:paraId="1BEF527B" w14:textId="77777777" w:rsidR="00742DBF" w:rsidRDefault="00742DBF" w:rsidP="00AB78EA"/>
    <w:p w14:paraId="473BF4A0" w14:textId="77777777" w:rsidR="00742DBF" w:rsidRDefault="00742DBF" w:rsidP="00AB78EA"/>
    <w:p w14:paraId="622483F3" w14:textId="77777777" w:rsidR="00742DBF" w:rsidRDefault="00742DBF" w:rsidP="00AB78EA"/>
    <w:p w14:paraId="47F12D82" w14:textId="77777777" w:rsidR="005A2E01" w:rsidRDefault="005A2E01" w:rsidP="00AB78EA"/>
    <w:p w14:paraId="0A6BAE72" w14:textId="77777777" w:rsidR="005A2E01" w:rsidRDefault="005A2E01" w:rsidP="00AB78EA"/>
    <w:p w14:paraId="600FF333" w14:textId="77777777" w:rsidR="005A2E01" w:rsidRDefault="005A2E01" w:rsidP="00AB78EA"/>
    <w:p w14:paraId="2DE6FBB6" w14:textId="77777777" w:rsidR="00742DBF" w:rsidRDefault="00742DBF" w:rsidP="00AB78EA"/>
    <w:p w14:paraId="11534751" w14:textId="77777777" w:rsidR="00742DBF" w:rsidRDefault="00742DBF" w:rsidP="00AB78EA"/>
    <w:p w14:paraId="42E3ABDE" w14:textId="77777777" w:rsidR="00742DBF" w:rsidRDefault="00742DBF" w:rsidP="00AB78EA"/>
    <w:p w14:paraId="6EA54A91" w14:textId="77777777" w:rsidR="00AB78EA" w:rsidRDefault="00AB78EA" w:rsidP="00AB78EA"/>
    <w:p w14:paraId="562A9576" w14:textId="77777777" w:rsidR="00AB78EA" w:rsidRDefault="00AB78EA" w:rsidP="00AB78EA"/>
    <w:p w14:paraId="3AB4A237" w14:textId="77777777" w:rsidR="003C0F49" w:rsidRDefault="003C0F49" w:rsidP="00AB78EA">
      <w:pPr>
        <w:spacing w:before="120" w:after="120"/>
        <w:ind w:left="0"/>
        <w:jc w:val="both"/>
        <w:rPr>
          <w:rFonts w:asciiTheme="minorHAnsi" w:eastAsiaTheme="minorHAnsi" w:hAnsiTheme="minorHAnsi" w:cstheme="minorBidi"/>
          <w:b/>
          <w:sz w:val="24"/>
          <w:szCs w:val="24"/>
          <w:lang w:val="en-GB"/>
        </w:rPr>
      </w:pPr>
    </w:p>
    <w:p w14:paraId="3EBFE35C" w14:textId="77777777" w:rsidR="003C0F49" w:rsidRDefault="003C0F49" w:rsidP="00AB78EA">
      <w:pPr>
        <w:spacing w:before="120" w:after="120"/>
        <w:ind w:left="0"/>
        <w:jc w:val="both"/>
        <w:rPr>
          <w:rFonts w:asciiTheme="minorHAnsi" w:eastAsiaTheme="minorHAnsi" w:hAnsiTheme="minorHAnsi" w:cstheme="minorBidi"/>
          <w:b/>
          <w:sz w:val="24"/>
          <w:szCs w:val="24"/>
          <w:lang w:val="en-GB"/>
        </w:rPr>
      </w:pPr>
    </w:p>
    <w:p w14:paraId="32A99FDC" w14:textId="7B2294A8" w:rsidR="003C0F49" w:rsidRDefault="00306804" w:rsidP="00AB78EA">
      <w:pPr>
        <w:spacing w:before="120" w:after="120"/>
        <w:ind w:left="0"/>
        <w:jc w:val="both"/>
        <w:rPr>
          <w:rFonts w:asciiTheme="minorHAnsi" w:eastAsiaTheme="minorHAnsi" w:hAnsiTheme="minorHAnsi" w:cstheme="minorBidi"/>
          <w:b/>
          <w:sz w:val="24"/>
          <w:szCs w:val="24"/>
          <w:lang w:val="en-GB"/>
        </w:rPr>
      </w:pPr>
      <w:r>
        <w:rPr>
          <w:rFonts w:asciiTheme="minorHAnsi" w:eastAsiaTheme="minorHAnsi" w:hAnsiTheme="minorHAnsi" w:cstheme="minorBidi"/>
          <w:b/>
          <w:sz w:val="24"/>
          <w:szCs w:val="24"/>
          <w:lang w:val="en-GB"/>
        </w:rPr>
        <w:t>6 February</w:t>
      </w:r>
      <w:r w:rsidR="0075336B">
        <w:rPr>
          <w:rFonts w:asciiTheme="minorHAnsi" w:eastAsiaTheme="minorHAnsi" w:hAnsiTheme="minorHAnsi" w:cstheme="minorBidi"/>
          <w:b/>
          <w:sz w:val="24"/>
          <w:szCs w:val="24"/>
          <w:lang w:val="en-GB"/>
        </w:rPr>
        <w:t xml:space="preserve"> 2019</w:t>
      </w:r>
    </w:p>
    <w:p w14:paraId="7F903CB4" w14:textId="77777777" w:rsidR="006757FC" w:rsidRDefault="006757FC" w:rsidP="00AB78EA">
      <w:pPr>
        <w:spacing w:before="120" w:after="120"/>
        <w:ind w:left="0"/>
        <w:jc w:val="both"/>
        <w:rPr>
          <w:rFonts w:asciiTheme="minorHAnsi" w:eastAsiaTheme="minorHAnsi" w:hAnsiTheme="minorHAnsi" w:cstheme="minorBidi"/>
          <w:b/>
          <w:sz w:val="24"/>
          <w:szCs w:val="24"/>
          <w:lang w:val="en-GB"/>
        </w:rPr>
      </w:pPr>
    </w:p>
    <w:p w14:paraId="5B75BB8D" w14:textId="55A5CAF7" w:rsidR="006757FC" w:rsidRDefault="006757FC" w:rsidP="00AB78EA">
      <w:pPr>
        <w:spacing w:before="120" w:after="120"/>
        <w:ind w:left="0"/>
        <w:jc w:val="both"/>
        <w:rPr>
          <w:rFonts w:asciiTheme="minorHAnsi" w:eastAsiaTheme="minorHAnsi" w:hAnsiTheme="minorHAnsi" w:cstheme="minorBidi"/>
          <w:b/>
          <w:sz w:val="24"/>
          <w:szCs w:val="24"/>
          <w:lang w:val="en-GB"/>
        </w:rPr>
      </w:pPr>
      <w:r>
        <w:rPr>
          <w:rFonts w:asciiTheme="minorHAnsi" w:eastAsiaTheme="minorHAnsi" w:hAnsiTheme="minorHAnsi" w:cstheme="minorBidi"/>
          <w:b/>
          <w:sz w:val="24"/>
          <w:szCs w:val="24"/>
          <w:lang w:val="en-GB"/>
        </w:rPr>
        <w:t xml:space="preserve">Version </w:t>
      </w:r>
      <w:r w:rsidR="001A4099">
        <w:rPr>
          <w:rFonts w:asciiTheme="minorHAnsi" w:eastAsiaTheme="minorHAnsi" w:hAnsiTheme="minorHAnsi" w:cstheme="minorBidi"/>
          <w:b/>
          <w:sz w:val="24"/>
          <w:szCs w:val="24"/>
          <w:lang w:val="en-GB"/>
        </w:rPr>
        <w:t>3</w:t>
      </w:r>
      <w:r w:rsidR="008D064F">
        <w:rPr>
          <w:rFonts w:asciiTheme="minorHAnsi" w:eastAsiaTheme="minorHAnsi" w:hAnsiTheme="minorHAnsi" w:cstheme="minorBidi"/>
          <w:b/>
          <w:sz w:val="24"/>
          <w:szCs w:val="24"/>
          <w:lang w:val="en-GB"/>
        </w:rPr>
        <w:t>.1</w:t>
      </w:r>
    </w:p>
    <w:p w14:paraId="30668D92" w14:textId="6974FE8F" w:rsidR="00AB78EA" w:rsidRDefault="00AB78EA" w:rsidP="00BC6FB6">
      <w:pPr>
        <w:spacing w:after="160" w:line="259" w:lineRule="auto"/>
        <w:ind w:left="0"/>
        <w:rPr>
          <w:rFonts w:asciiTheme="minorHAnsi" w:eastAsiaTheme="minorHAnsi" w:hAnsiTheme="minorHAnsi" w:cstheme="minorBidi"/>
          <w:b/>
          <w:sz w:val="24"/>
          <w:szCs w:val="24"/>
          <w:lang w:val="en-GB"/>
        </w:rPr>
      </w:pPr>
      <w:r>
        <w:rPr>
          <w:rFonts w:asciiTheme="minorHAnsi" w:eastAsiaTheme="minorHAnsi" w:hAnsiTheme="minorHAnsi" w:cstheme="minorBidi"/>
          <w:b/>
          <w:sz w:val="24"/>
          <w:szCs w:val="24"/>
          <w:lang w:val="en-GB"/>
        </w:rPr>
        <w:br w:type="page"/>
      </w:r>
    </w:p>
    <w:bookmarkStart w:id="0" w:name="_Toc364001858"/>
    <w:bookmarkStart w:id="1" w:name="_Toc364343109"/>
    <w:bookmarkStart w:id="2" w:name="_Toc364343296"/>
    <w:bookmarkStart w:id="3" w:name="_Toc364343655"/>
    <w:bookmarkStart w:id="4" w:name="_Toc364635720"/>
    <w:bookmarkStart w:id="5" w:name="_Toc364636112"/>
    <w:bookmarkStart w:id="6" w:name="_Toc364636548"/>
    <w:bookmarkStart w:id="7" w:name="_Toc366502049"/>
    <w:bookmarkStart w:id="8" w:name="_Toc489216036"/>
    <w:p w14:paraId="5E18A716" w14:textId="77777777" w:rsidR="00D11C47" w:rsidRDefault="00D11C47">
      <w:pPr>
        <w:pStyle w:val="TOC1"/>
        <w:tabs>
          <w:tab w:val="left" w:pos="352"/>
        </w:tabs>
        <w:rPr>
          <w:rFonts w:eastAsiaTheme="minorEastAsia" w:cstheme="minorBidi"/>
          <w:b w:val="0"/>
          <w:noProof/>
          <w:sz w:val="24"/>
          <w:szCs w:val="24"/>
          <w:lang w:val="en-GB" w:eastAsia="ja-JP"/>
        </w:rPr>
      </w:pPr>
      <w:r>
        <w:rPr>
          <w:rFonts w:ascii="Calibri" w:hAnsi="Calibri"/>
          <w:b w:val="0"/>
          <w:bCs/>
          <w:sz w:val="28"/>
          <w:szCs w:val="28"/>
        </w:rPr>
        <w:lastRenderedPageBreak/>
        <w:fldChar w:fldCharType="begin"/>
      </w:r>
      <w:r>
        <w:rPr>
          <w:rFonts w:ascii="Calibri" w:hAnsi="Calibri"/>
          <w:b w:val="0"/>
          <w:bCs/>
          <w:sz w:val="28"/>
          <w:szCs w:val="28"/>
        </w:rPr>
        <w:instrText xml:space="preserve"> TOC \o "1-3" </w:instrText>
      </w:r>
      <w:r>
        <w:rPr>
          <w:rFonts w:ascii="Calibri" w:hAnsi="Calibri"/>
          <w:b w:val="0"/>
          <w:bCs/>
          <w:sz w:val="28"/>
          <w:szCs w:val="28"/>
        </w:rPr>
        <w:fldChar w:fldCharType="separate"/>
      </w:r>
      <w:r w:rsidRPr="00601179">
        <w:rPr>
          <w:rFonts w:ascii="Calibri" w:hAnsi="Calibri"/>
          <w:bCs/>
          <w:noProof/>
        </w:rPr>
        <w:t>1</w:t>
      </w:r>
      <w:r>
        <w:rPr>
          <w:rFonts w:eastAsiaTheme="minorEastAsia" w:cstheme="minorBidi"/>
          <w:b w:val="0"/>
          <w:noProof/>
          <w:sz w:val="24"/>
          <w:szCs w:val="24"/>
          <w:lang w:val="en-GB" w:eastAsia="ja-JP"/>
        </w:rPr>
        <w:tab/>
      </w:r>
      <w:r w:rsidRPr="00601179">
        <w:rPr>
          <w:rFonts w:ascii="Calibri" w:hAnsi="Calibri"/>
          <w:bCs/>
          <w:noProof/>
        </w:rPr>
        <w:t>Introduction</w:t>
      </w:r>
      <w:r>
        <w:rPr>
          <w:noProof/>
        </w:rPr>
        <w:tab/>
      </w:r>
      <w:r>
        <w:rPr>
          <w:noProof/>
        </w:rPr>
        <w:fldChar w:fldCharType="begin"/>
      </w:r>
      <w:r>
        <w:rPr>
          <w:noProof/>
        </w:rPr>
        <w:instrText xml:space="preserve"> PAGEREF _Toc409468188 \h </w:instrText>
      </w:r>
      <w:r>
        <w:rPr>
          <w:noProof/>
        </w:rPr>
      </w:r>
      <w:r>
        <w:rPr>
          <w:noProof/>
        </w:rPr>
        <w:fldChar w:fldCharType="separate"/>
      </w:r>
      <w:r w:rsidR="001F5422">
        <w:rPr>
          <w:noProof/>
        </w:rPr>
        <w:t>4</w:t>
      </w:r>
      <w:r>
        <w:rPr>
          <w:noProof/>
        </w:rPr>
        <w:fldChar w:fldCharType="end"/>
      </w:r>
    </w:p>
    <w:p w14:paraId="72CEE057" w14:textId="77777777" w:rsidR="00D11C47" w:rsidRDefault="00D11C47">
      <w:pPr>
        <w:pStyle w:val="TOC1"/>
        <w:tabs>
          <w:tab w:val="left" w:pos="352"/>
        </w:tabs>
        <w:rPr>
          <w:rFonts w:eastAsiaTheme="minorEastAsia" w:cstheme="minorBidi"/>
          <w:b w:val="0"/>
          <w:noProof/>
          <w:sz w:val="24"/>
          <w:szCs w:val="24"/>
          <w:lang w:val="en-GB" w:eastAsia="ja-JP"/>
        </w:rPr>
      </w:pPr>
      <w:r w:rsidRPr="00601179">
        <w:rPr>
          <w:rFonts w:ascii="Calibri" w:hAnsi="Calibri"/>
          <w:bCs/>
          <w:noProof/>
        </w:rPr>
        <w:t>2</w:t>
      </w:r>
      <w:r>
        <w:rPr>
          <w:rFonts w:eastAsiaTheme="minorEastAsia" w:cstheme="minorBidi"/>
          <w:b w:val="0"/>
          <w:noProof/>
          <w:sz w:val="24"/>
          <w:szCs w:val="24"/>
          <w:lang w:val="en-GB" w:eastAsia="ja-JP"/>
        </w:rPr>
        <w:tab/>
      </w:r>
      <w:r w:rsidRPr="00601179">
        <w:rPr>
          <w:rFonts w:ascii="Calibri" w:hAnsi="Calibri"/>
          <w:bCs/>
          <w:noProof/>
        </w:rPr>
        <w:t>Scope of Guide</w:t>
      </w:r>
      <w:r>
        <w:rPr>
          <w:noProof/>
        </w:rPr>
        <w:tab/>
      </w:r>
      <w:r>
        <w:rPr>
          <w:noProof/>
        </w:rPr>
        <w:fldChar w:fldCharType="begin"/>
      </w:r>
      <w:r>
        <w:rPr>
          <w:noProof/>
        </w:rPr>
        <w:instrText xml:space="preserve"> PAGEREF _Toc409468189 \h </w:instrText>
      </w:r>
      <w:r>
        <w:rPr>
          <w:noProof/>
        </w:rPr>
      </w:r>
      <w:r>
        <w:rPr>
          <w:noProof/>
        </w:rPr>
        <w:fldChar w:fldCharType="separate"/>
      </w:r>
      <w:r w:rsidR="001F5422">
        <w:rPr>
          <w:noProof/>
        </w:rPr>
        <w:t>5</w:t>
      </w:r>
      <w:r>
        <w:rPr>
          <w:noProof/>
        </w:rPr>
        <w:fldChar w:fldCharType="end"/>
      </w:r>
    </w:p>
    <w:p w14:paraId="05815249"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2.1</w:t>
      </w:r>
      <w:r>
        <w:rPr>
          <w:rFonts w:asciiTheme="minorHAnsi" w:eastAsiaTheme="minorEastAsia" w:hAnsiTheme="minorHAnsi" w:cstheme="minorBidi"/>
          <w:noProof/>
          <w:sz w:val="24"/>
          <w:szCs w:val="24"/>
          <w:lang w:val="en-GB" w:eastAsia="ja-JP"/>
        </w:rPr>
        <w:tab/>
      </w:r>
      <w:r>
        <w:rPr>
          <w:noProof/>
        </w:rPr>
        <w:t>What this Guide covers:</w:t>
      </w:r>
      <w:r>
        <w:rPr>
          <w:noProof/>
        </w:rPr>
        <w:tab/>
      </w:r>
      <w:r>
        <w:rPr>
          <w:noProof/>
        </w:rPr>
        <w:fldChar w:fldCharType="begin"/>
      </w:r>
      <w:r>
        <w:rPr>
          <w:noProof/>
        </w:rPr>
        <w:instrText xml:space="preserve"> PAGEREF _Toc409468190 \h </w:instrText>
      </w:r>
      <w:r>
        <w:rPr>
          <w:noProof/>
        </w:rPr>
      </w:r>
      <w:r>
        <w:rPr>
          <w:noProof/>
        </w:rPr>
        <w:fldChar w:fldCharType="separate"/>
      </w:r>
      <w:r w:rsidR="001F5422">
        <w:rPr>
          <w:noProof/>
        </w:rPr>
        <w:t>5</w:t>
      </w:r>
      <w:r>
        <w:rPr>
          <w:noProof/>
        </w:rPr>
        <w:fldChar w:fldCharType="end"/>
      </w:r>
    </w:p>
    <w:p w14:paraId="4D3E648E" w14:textId="77777777" w:rsidR="00D11C47" w:rsidRDefault="00D11C47">
      <w:pPr>
        <w:pStyle w:val="TOC2"/>
        <w:tabs>
          <w:tab w:val="left" w:pos="460"/>
          <w:tab w:val="right" w:leader="dot" w:pos="9016"/>
        </w:tabs>
        <w:rPr>
          <w:rFonts w:asciiTheme="minorHAnsi" w:eastAsiaTheme="minorEastAsia" w:hAnsiTheme="minorHAnsi" w:cstheme="minorBidi"/>
          <w:noProof/>
          <w:sz w:val="24"/>
          <w:szCs w:val="24"/>
          <w:lang w:val="en-GB" w:eastAsia="ja-JP"/>
        </w:rPr>
      </w:pPr>
      <w:r>
        <w:rPr>
          <w:rFonts w:asciiTheme="minorHAnsi" w:eastAsiaTheme="minorEastAsia" w:hAnsiTheme="minorHAnsi" w:cstheme="minorBidi"/>
          <w:noProof/>
          <w:sz w:val="24"/>
          <w:szCs w:val="24"/>
          <w:lang w:val="en-GB" w:eastAsia="ja-JP"/>
        </w:rPr>
        <w:tab/>
      </w:r>
      <w:r w:rsidRPr="00601179">
        <w:rPr>
          <w:noProof/>
          <w:lang w:val="en-GB"/>
        </w:rPr>
        <w:t>What this Guide does not cover:</w:t>
      </w:r>
      <w:r>
        <w:rPr>
          <w:noProof/>
        </w:rPr>
        <w:tab/>
      </w:r>
      <w:r>
        <w:rPr>
          <w:noProof/>
        </w:rPr>
        <w:fldChar w:fldCharType="begin"/>
      </w:r>
      <w:r>
        <w:rPr>
          <w:noProof/>
        </w:rPr>
        <w:instrText xml:space="preserve"> PAGEREF _Toc409468191 \h </w:instrText>
      </w:r>
      <w:r>
        <w:rPr>
          <w:noProof/>
        </w:rPr>
      </w:r>
      <w:r>
        <w:rPr>
          <w:noProof/>
        </w:rPr>
        <w:fldChar w:fldCharType="separate"/>
      </w:r>
      <w:r w:rsidR="001F5422">
        <w:rPr>
          <w:noProof/>
        </w:rPr>
        <w:t>5</w:t>
      </w:r>
      <w:r>
        <w:rPr>
          <w:noProof/>
        </w:rPr>
        <w:fldChar w:fldCharType="end"/>
      </w:r>
    </w:p>
    <w:p w14:paraId="6DA4719A" w14:textId="77777777" w:rsidR="00D11C47" w:rsidRDefault="00D11C47">
      <w:pPr>
        <w:pStyle w:val="TOC2"/>
        <w:tabs>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lang w:val="en-GB"/>
        </w:rPr>
        <w:t>2.2</w:t>
      </w:r>
      <w:r>
        <w:rPr>
          <w:noProof/>
        </w:rPr>
        <w:tab/>
      </w:r>
      <w:r>
        <w:rPr>
          <w:noProof/>
        </w:rPr>
        <w:fldChar w:fldCharType="begin"/>
      </w:r>
      <w:r>
        <w:rPr>
          <w:noProof/>
        </w:rPr>
        <w:instrText xml:space="preserve"> PAGEREF _Toc409468192 \h </w:instrText>
      </w:r>
      <w:r>
        <w:rPr>
          <w:noProof/>
        </w:rPr>
      </w:r>
      <w:r>
        <w:rPr>
          <w:noProof/>
        </w:rPr>
        <w:fldChar w:fldCharType="separate"/>
      </w:r>
      <w:r w:rsidR="001F5422">
        <w:rPr>
          <w:noProof/>
        </w:rPr>
        <w:t>5</w:t>
      </w:r>
      <w:r>
        <w:rPr>
          <w:noProof/>
        </w:rPr>
        <w:fldChar w:fldCharType="end"/>
      </w:r>
    </w:p>
    <w:p w14:paraId="58A70EDD" w14:textId="77777777" w:rsidR="00D11C47" w:rsidRDefault="00D11C47">
      <w:pPr>
        <w:pStyle w:val="TOC1"/>
        <w:tabs>
          <w:tab w:val="left" w:pos="352"/>
        </w:tabs>
        <w:rPr>
          <w:rFonts w:eastAsiaTheme="minorEastAsia" w:cstheme="minorBidi"/>
          <w:b w:val="0"/>
          <w:noProof/>
          <w:sz w:val="24"/>
          <w:szCs w:val="24"/>
          <w:lang w:val="en-GB" w:eastAsia="ja-JP"/>
        </w:rPr>
      </w:pPr>
      <w:r w:rsidRPr="00601179">
        <w:rPr>
          <w:rFonts w:ascii="Calibri" w:hAnsi="Calibri"/>
          <w:bCs/>
          <w:noProof/>
        </w:rPr>
        <w:t>3</w:t>
      </w:r>
      <w:r>
        <w:rPr>
          <w:rFonts w:eastAsiaTheme="minorEastAsia" w:cstheme="minorBidi"/>
          <w:b w:val="0"/>
          <w:noProof/>
          <w:sz w:val="24"/>
          <w:szCs w:val="24"/>
          <w:lang w:val="en-GB" w:eastAsia="ja-JP"/>
        </w:rPr>
        <w:tab/>
      </w:r>
      <w:r w:rsidRPr="00601179">
        <w:rPr>
          <w:rFonts w:ascii="Calibri" w:hAnsi="Calibri"/>
          <w:bCs/>
          <w:noProof/>
        </w:rPr>
        <w:t>Scope of MiFID II and Costs &amp; Charges</w:t>
      </w:r>
      <w:r>
        <w:rPr>
          <w:noProof/>
        </w:rPr>
        <w:tab/>
      </w:r>
      <w:r>
        <w:rPr>
          <w:noProof/>
        </w:rPr>
        <w:fldChar w:fldCharType="begin"/>
      </w:r>
      <w:r>
        <w:rPr>
          <w:noProof/>
        </w:rPr>
        <w:instrText xml:space="preserve"> PAGEREF _Toc409468193 \h </w:instrText>
      </w:r>
      <w:r>
        <w:rPr>
          <w:noProof/>
        </w:rPr>
      </w:r>
      <w:r>
        <w:rPr>
          <w:noProof/>
        </w:rPr>
        <w:fldChar w:fldCharType="separate"/>
      </w:r>
      <w:r w:rsidR="001F5422">
        <w:rPr>
          <w:noProof/>
        </w:rPr>
        <w:t>6</w:t>
      </w:r>
      <w:r>
        <w:rPr>
          <w:noProof/>
        </w:rPr>
        <w:fldChar w:fldCharType="end"/>
      </w:r>
    </w:p>
    <w:p w14:paraId="1BF2201C"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sidRPr="00601179">
        <w:rPr>
          <w:noProof/>
        </w:rPr>
        <w:t>3.1</w:t>
      </w:r>
      <w:r>
        <w:rPr>
          <w:rFonts w:asciiTheme="minorHAnsi" w:eastAsiaTheme="minorEastAsia" w:hAnsiTheme="minorHAnsi" w:cstheme="minorBidi"/>
          <w:noProof/>
          <w:sz w:val="24"/>
          <w:szCs w:val="24"/>
          <w:lang w:val="en-GB" w:eastAsia="ja-JP"/>
        </w:rPr>
        <w:tab/>
      </w:r>
      <w:r>
        <w:rPr>
          <w:noProof/>
        </w:rPr>
        <w:t>Scope of MiFID II</w:t>
      </w:r>
      <w:r>
        <w:rPr>
          <w:noProof/>
        </w:rPr>
        <w:tab/>
      </w:r>
      <w:r>
        <w:rPr>
          <w:noProof/>
        </w:rPr>
        <w:fldChar w:fldCharType="begin"/>
      </w:r>
      <w:r>
        <w:rPr>
          <w:noProof/>
        </w:rPr>
        <w:instrText xml:space="preserve"> PAGEREF _Toc409468194 \h </w:instrText>
      </w:r>
      <w:r>
        <w:rPr>
          <w:noProof/>
        </w:rPr>
      </w:r>
      <w:r>
        <w:rPr>
          <w:noProof/>
        </w:rPr>
        <w:fldChar w:fldCharType="separate"/>
      </w:r>
      <w:r w:rsidR="001F5422">
        <w:rPr>
          <w:noProof/>
        </w:rPr>
        <w:t>6</w:t>
      </w:r>
      <w:r>
        <w:rPr>
          <w:noProof/>
        </w:rPr>
        <w:fldChar w:fldCharType="end"/>
      </w:r>
    </w:p>
    <w:p w14:paraId="32C69442" w14:textId="77777777" w:rsidR="00D11C47" w:rsidRDefault="00D11C47">
      <w:pPr>
        <w:pStyle w:val="TOC2"/>
        <w:tabs>
          <w:tab w:val="left" w:pos="749"/>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3.2</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Scope of MiFID II Costs &amp; Charges Provisions</w:t>
      </w:r>
      <w:r>
        <w:rPr>
          <w:noProof/>
        </w:rPr>
        <w:tab/>
      </w:r>
      <w:r>
        <w:rPr>
          <w:noProof/>
        </w:rPr>
        <w:fldChar w:fldCharType="begin"/>
      </w:r>
      <w:r>
        <w:rPr>
          <w:noProof/>
        </w:rPr>
        <w:instrText xml:space="preserve"> PAGEREF _Toc409468195 \h </w:instrText>
      </w:r>
      <w:r>
        <w:rPr>
          <w:noProof/>
        </w:rPr>
      </w:r>
      <w:r>
        <w:rPr>
          <w:noProof/>
        </w:rPr>
        <w:fldChar w:fldCharType="separate"/>
      </w:r>
      <w:r w:rsidR="001F5422">
        <w:rPr>
          <w:noProof/>
        </w:rPr>
        <w:t>7</w:t>
      </w:r>
      <w:r>
        <w:rPr>
          <w:noProof/>
        </w:rPr>
        <w:fldChar w:fldCharType="end"/>
      </w:r>
    </w:p>
    <w:p w14:paraId="073289C3"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3.2.1</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The Costs &amp; Charges requirements</w:t>
      </w:r>
      <w:r>
        <w:rPr>
          <w:noProof/>
        </w:rPr>
        <w:tab/>
      </w:r>
      <w:r>
        <w:rPr>
          <w:noProof/>
        </w:rPr>
        <w:fldChar w:fldCharType="begin"/>
      </w:r>
      <w:r>
        <w:rPr>
          <w:noProof/>
        </w:rPr>
        <w:instrText xml:space="preserve"> PAGEREF _Toc409468196 \h </w:instrText>
      </w:r>
      <w:r>
        <w:rPr>
          <w:noProof/>
        </w:rPr>
      </w:r>
      <w:r>
        <w:rPr>
          <w:noProof/>
        </w:rPr>
        <w:fldChar w:fldCharType="separate"/>
      </w:r>
      <w:r w:rsidR="001F5422">
        <w:rPr>
          <w:noProof/>
        </w:rPr>
        <w:t>7</w:t>
      </w:r>
      <w:r>
        <w:rPr>
          <w:noProof/>
        </w:rPr>
        <w:fldChar w:fldCharType="end"/>
      </w:r>
    </w:p>
    <w:p w14:paraId="38DBB2E4"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lang w:val="en-GB"/>
        </w:rPr>
        <w:t>3.2.2</w:t>
      </w:r>
      <w:r>
        <w:rPr>
          <w:rFonts w:asciiTheme="minorHAnsi" w:eastAsiaTheme="minorEastAsia" w:hAnsiTheme="minorHAnsi" w:cstheme="minorBidi"/>
          <w:noProof/>
          <w:sz w:val="24"/>
          <w:szCs w:val="24"/>
          <w:lang w:val="en-GB" w:eastAsia="ja-JP"/>
        </w:rPr>
        <w:tab/>
      </w:r>
      <w:r w:rsidRPr="00601179">
        <w:rPr>
          <w:rFonts w:ascii="Calibri" w:hAnsi="Calibri"/>
          <w:noProof/>
          <w:lang w:val="en-GB"/>
        </w:rPr>
        <w:t>Investment Service Costs</w:t>
      </w:r>
      <w:r>
        <w:rPr>
          <w:noProof/>
        </w:rPr>
        <w:tab/>
      </w:r>
      <w:r>
        <w:rPr>
          <w:noProof/>
        </w:rPr>
        <w:fldChar w:fldCharType="begin"/>
      </w:r>
      <w:r>
        <w:rPr>
          <w:noProof/>
        </w:rPr>
        <w:instrText xml:space="preserve"> PAGEREF _Toc409468197 \h </w:instrText>
      </w:r>
      <w:r>
        <w:rPr>
          <w:noProof/>
        </w:rPr>
      </w:r>
      <w:r>
        <w:rPr>
          <w:noProof/>
        </w:rPr>
        <w:fldChar w:fldCharType="separate"/>
      </w:r>
      <w:r w:rsidR="001F5422">
        <w:rPr>
          <w:noProof/>
        </w:rPr>
        <w:t>9</w:t>
      </w:r>
      <w:r>
        <w:rPr>
          <w:noProof/>
        </w:rPr>
        <w:fldChar w:fldCharType="end"/>
      </w:r>
    </w:p>
    <w:p w14:paraId="5F6A9F61"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lang w:val="en-GB"/>
        </w:rPr>
        <w:t>3.2.3</w:t>
      </w:r>
      <w:r>
        <w:rPr>
          <w:rFonts w:asciiTheme="minorHAnsi" w:eastAsiaTheme="minorEastAsia" w:hAnsiTheme="minorHAnsi" w:cstheme="minorBidi"/>
          <w:noProof/>
          <w:sz w:val="24"/>
          <w:szCs w:val="24"/>
          <w:lang w:val="en-GB" w:eastAsia="ja-JP"/>
        </w:rPr>
        <w:tab/>
      </w:r>
      <w:r w:rsidRPr="00601179">
        <w:rPr>
          <w:rFonts w:ascii="Calibri" w:hAnsi="Calibri"/>
          <w:noProof/>
          <w:lang w:val="en-GB"/>
        </w:rPr>
        <w:t>Investment Product Costs</w:t>
      </w:r>
      <w:r>
        <w:rPr>
          <w:noProof/>
        </w:rPr>
        <w:tab/>
      </w:r>
      <w:r>
        <w:rPr>
          <w:noProof/>
        </w:rPr>
        <w:fldChar w:fldCharType="begin"/>
      </w:r>
      <w:r>
        <w:rPr>
          <w:noProof/>
        </w:rPr>
        <w:instrText xml:space="preserve"> PAGEREF _Toc409468198 \h </w:instrText>
      </w:r>
      <w:r>
        <w:rPr>
          <w:noProof/>
        </w:rPr>
      </w:r>
      <w:r>
        <w:rPr>
          <w:noProof/>
        </w:rPr>
        <w:fldChar w:fldCharType="separate"/>
      </w:r>
      <w:r w:rsidR="001F5422">
        <w:rPr>
          <w:noProof/>
        </w:rPr>
        <w:t>10</w:t>
      </w:r>
      <w:r>
        <w:rPr>
          <w:noProof/>
        </w:rPr>
        <w:fldChar w:fldCharType="end"/>
      </w:r>
    </w:p>
    <w:p w14:paraId="1871422E"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3.2.4</w:t>
      </w:r>
      <w:r>
        <w:rPr>
          <w:rFonts w:asciiTheme="minorHAnsi" w:eastAsiaTheme="minorEastAsia" w:hAnsiTheme="minorHAnsi" w:cstheme="minorBidi"/>
          <w:noProof/>
          <w:sz w:val="24"/>
          <w:szCs w:val="24"/>
          <w:lang w:val="en-GB" w:eastAsia="ja-JP"/>
        </w:rPr>
        <w:tab/>
      </w:r>
      <w:r w:rsidRPr="00601179">
        <w:rPr>
          <w:rFonts w:ascii="Calibri" w:hAnsi="Calibri"/>
          <w:noProof/>
          <w:lang w:val="en-GB"/>
        </w:rPr>
        <w:t>Charges Summary</w:t>
      </w:r>
      <w:r>
        <w:rPr>
          <w:noProof/>
        </w:rPr>
        <w:tab/>
      </w:r>
      <w:r>
        <w:rPr>
          <w:noProof/>
        </w:rPr>
        <w:fldChar w:fldCharType="begin"/>
      </w:r>
      <w:r>
        <w:rPr>
          <w:noProof/>
        </w:rPr>
        <w:instrText xml:space="preserve"> PAGEREF _Toc409468199 \h </w:instrText>
      </w:r>
      <w:r>
        <w:rPr>
          <w:noProof/>
        </w:rPr>
      </w:r>
      <w:r>
        <w:rPr>
          <w:noProof/>
        </w:rPr>
        <w:fldChar w:fldCharType="separate"/>
      </w:r>
      <w:r w:rsidR="001F5422">
        <w:rPr>
          <w:noProof/>
        </w:rPr>
        <w:t>11</w:t>
      </w:r>
      <w:r>
        <w:rPr>
          <w:noProof/>
        </w:rPr>
        <w:fldChar w:fldCharType="end"/>
      </w:r>
    </w:p>
    <w:p w14:paraId="4C048E71" w14:textId="77777777" w:rsidR="00D11C47" w:rsidRDefault="00D11C47">
      <w:pPr>
        <w:pStyle w:val="TOC1"/>
        <w:tabs>
          <w:tab w:val="left" w:pos="352"/>
        </w:tabs>
        <w:rPr>
          <w:rFonts w:eastAsiaTheme="minorEastAsia" w:cstheme="minorBidi"/>
          <w:b w:val="0"/>
          <w:noProof/>
          <w:sz w:val="24"/>
          <w:szCs w:val="24"/>
          <w:lang w:val="en-GB" w:eastAsia="ja-JP"/>
        </w:rPr>
      </w:pPr>
      <w:r w:rsidRPr="00601179">
        <w:rPr>
          <w:rFonts w:ascii="Calibri" w:hAnsi="Calibri"/>
          <w:bCs/>
          <w:noProof/>
        </w:rPr>
        <w:t>4</w:t>
      </w:r>
      <w:r>
        <w:rPr>
          <w:rFonts w:eastAsiaTheme="minorEastAsia" w:cstheme="minorBidi"/>
          <w:b w:val="0"/>
          <w:noProof/>
          <w:sz w:val="24"/>
          <w:szCs w:val="24"/>
          <w:lang w:val="en-GB" w:eastAsia="ja-JP"/>
        </w:rPr>
        <w:tab/>
      </w:r>
      <w:r w:rsidRPr="00601179">
        <w:rPr>
          <w:rFonts w:ascii="Calibri" w:hAnsi="Calibri"/>
          <w:bCs/>
          <w:noProof/>
        </w:rPr>
        <w:t>Ex-Ante Costs and Charges Disclosure</w:t>
      </w:r>
      <w:r>
        <w:rPr>
          <w:noProof/>
        </w:rPr>
        <w:tab/>
      </w:r>
      <w:r>
        <w:rPr>
          <w:noProof/>
        </w:rPr>
        <w:fldChar w:fldCharType="begin"/>
      </w:r>
      <w:r>
        <w:rPr>
          <w:noProof/>
        </w:rPr>
        <w:instrText xml:space="preserve"> PAGEREF _Toc409468200 \h </w:instrText>
      </w:r>
      <w:r>
        <w:rPr>
          <w:noProof/>
        </w:rPr>
      </w:r>
      <w:r>
        <w:rPr>
          <w:noProof/>
        </w:rPr>
        <w:fldChar w:fldCharType="separate"/>
      </w:r>
      <w:r w:rsidR="001F5422">
        <w:rPr>
          <w:noProof/>
        </w:rPr>
        <w:t>13</w:t>
      </w:r>
      <w:r>
        <w:rPr>
          <w:noProof/>
        </w:rPr>
        <w:fldChar w:fldCharType="end"/>
      </w:r>
    </w:p>
    <w:p w14:paraId="65D95393" w14:textId="77777777" w:rsidR="00D11C47" w:rsidRDefault="00D11C47">
      <w:pPr>
        <w:pStyle w:val="TOC2"/>
        <w:tabs>
          <w:tab w:val="left" w:pos="749"/>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4.1</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Introduction</w:t>
      </w:r>
      <w:r>
        <w:rPr>
          <w:noProof/>
        </w:rPr>
        <w:tab/>
      </w:r>
      <w:r>
        <w:rPr>
          <w:noProof/>
        </w:rPr>
        <w:fldChar w:fldCharType="begin"/>
      </w:r>
      <w:r>
        <w:rPr>
          <w:noProof/>
        </w:rPr>
        <w:instrText xml:space="preserve"> PAGEREF _Toc409468201 \h </w:instrText>
      </w:r>
      <w:r>
        <w:rPr>
          <w:noProof/>
        </w:rPr>
      </w:r>
      <w:r>
        <w:rPr>
          <w:noProof/>
        </w:rPr>
        <w:fldChar w:fldCharType="separate"/>
      </w:r>
      <w:r w:rsidR="001F5422">
        <w:rPr>
          <w:noProof/>
        </w:rPr>
        <w:t>13</w:t>
      </w:r>
      <w:r>
        <w:rPr>
          <w:noProof/>
        </w:rPr>
        <w:fldChar w:fldCharType="end"/>
      </w:r>
    </w:p>
    <w:p w14:paraId="5D681607" w14:textId="77777777" w:rsidR="00D11C47" w:rsidRDefault="00D11C47">
      <w:pPr>
        <w:pStyle w:val="TOC2"/>
        <w:tabs>
          <w:tab w:val="left" w:pos="749"/>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4.2</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 xml:space="preserve">Timing of the Ex-Ante </w:t>
      </w:r>
      <w:r w:rsidRPr="00601179">
        <w:rPr>
          <w:rFonts w:asciiTheme="minorHAnsi" w:hAnsiTheme="minorHAnsi"/>
          <w:noProof/>
          <w:lang w:val="en-GB"/>
        </w:rPr>
        <w:t>Document</w:t>
      </w:r>
      <w:r>
        <w:rPr>
          <w:noProof/>
        </w:rPr>
        <w:tab/>
      </w:r>
      <w:r>
        <w:rPr>
          <w:noProof/>
        </w:rPr>
        <w:fldChar w:fldCharType="begin"/>
      </w:r>
      <w:r>
        <w:rPr>
          <w:noProof/>
        </w:rPr>
        <w:instrText xml:space="preserve"> PAGEREF _Toc409468202 \h </w:instrText>
      </w:r>
      <w:r>
        <w:rPr>
          <w:noProof/>
        </w:rPr>
      </w:r>
      <w:r>
        <w:rPr>
          <w:noProof/>
        </w:rPr>
        <w:fldChar w:fldCharType="separate"/>
      </w:r>
      <w:r w:rsidR="001F5422">
        <w:rPr>
          <w:noProof/>
        </w:rPr>
        <w:t>13</w:t>
      </w:r>
      <w:r>
        <w:rPr>
          <w:noProof/>
        </w:rPr>
        <w:fldChar w:fldCharType="end"/>
      </w:r>
    </w:p>
    <w:p w14:paraId="7D21EC65" w14:textId="77777777" w:rsidR="00D11C47" w:rsidRDefault="00D11C47">
      <w:pPr>
        <w:pStyle w:val="TOC2"/>
        <w:tabs>
          <w:tab w:val="left" w:pos="749"/>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4.3</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Who creates and who receives the Ex-Ante Costs &amp; Charges Document?</w:t>
      </w:r>
      <w:r>
        <w:rPr>
          <w:noProof/>
        </w:rPr>
        <w:tab/>
      </w:r>
      <w:r>
        <w:rPr>
          <w:noProof/>
        </w:rPr>
        <w:fldChar w:fldCharType="begin"/>
      </w:r>
      <w:r>
        <w:rPr>
          <w:noProof/>
        </w:rPr>
        <w:instrText xml:space="preserve"> PAGEREF _Toc409468203 \h </w:instrText>
      </w:r>
      <w:r>
        <w:rPr>
          <w:noProof/>
        </w:rPr>
      </w:r>
      <w:r>
        <w:rPr>
          <w:noProof/>
        </w:rPr>
        <w:fldChar w:fldCharType="separate"/>
      </w:r>
      <w:r w:rsidR="001F5422">
        <w:rPr>
          <w:noProof/>
        </w:rPr>
        <w:t>13</w:t>
      </w:r>
      <w:r>
        <w:rPr>
          <w:noProof/>
        </w:rPr>
        <w:fldChar w:fldCharType="end"/>
      </w:r>
    </w:p>
    <w:p w14:paraId="1976E770"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4.4</w:t>
      </w:r>
      <w:r>
        <w:rPr>
          <w:rFonts w:asciiTheme="minorHAnsi" w:eastAsiaTheme="minorEastAsia" w:hAnsiTheme="minorHAnsi" w:cstheme="minorBidi"/>
          <w:noProof/>
          <w:sz w:val="24"/>
          <w:szCs w:val="24"/>
          <w:lang w:val="en-GB" w:eastAsia="ja-JP"/>
        </w:rPr>
        <w:tab/>
      </w:r>
      <w:r>
        <w:rPr>
          <w:noProof/>
        </w:rPr>
        <w:t>How often does the Ex-Ante Template produced by Product manufacturers need reviewing?</w:t>
      </w:r>
      <w:r>
        <w:rPr>
          <w:noProof/>
        </w:rPr>
        <w:tab/>
      </w:r>
      <w:r>
        <w:rPr>
          <w:noProof/>
        </w:rPr>
        <w:fldChar w:fldCharType="begin"/>
      </w:r>
      <w:r>
        <w:rPr>
          <w:noProof/>
        </w:rPr>
        <w:instrText xml:space="preserve"> PAGEREF _Toc409468204 \h </w:instrText>
      </w:r>
      <w:r>
        <w:rPr>
          <w:noProof/>
        </w:rPr>
      </w:r>
      <w:r>
        <w:rPr>
          <w:noProof/>
        </w:rPr>
        <w:fldChar w:fldCharType="separate"/>
      </w:r>
      <w:r w:rsidR="001F5422">
        <w:rPr>
          <w:noProof/>
        </w:rPr>
        <w:t>14</w:t>
      </w:r>
      <w:r>
        <w:rPr>
          <w:noProof/>
        </w:rPr>
        <w:fldChar w:fldCharType="end"/>
      </w:r>
    </w:p>
    <w:p w14:paraId="01997A33"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4.5</w:t>
      </w:r>
      <w:r>
        <w:rPr>
          <w:rFonts w:asciiTheme="minorHAnsi" w:eastAsiaTheme="minorEastAsia" w:hAnsiTheme="minorHAnsi" w:cstheme="minorBidi"/>
          <w:noProof/>
          <w:sz w:val="24"/>
          <w:szCs w:val="24"/>
          <w:lang w:val="en-GB" w:eastAsia="ja-JP"/>
        </w:rPr>
        <w:tab/>
      </w:r>
      <w:r>
        <w:rPr>
          <w:noProof/>
        </w:rPr>
        <w:t>What is a Material Change?</w:t>
      </w:r>
      <w:r>
        <w:rPr>
          <w:noProof/>
        </w:rPr>
        <w:tab/>
      </w:r>
      <w:r>
        <w:rPr>
          <w:noProof/>
        </w:rPr>
        <w:fldChar w:fldCharType="begin"/>
      </w:r>
      <w:r>
        <w:rPr>
          <w:noProof/>
        </w:rPr>
        <w:instrText xml:space="preserve"> PAGEREF _Toc409468205 \h </w:instrText>
      </w:r>
      <w:r>
        <w:rPr>
          <w:noProof/>
        </w:rPr>
      </w:r>
      <w:r>
        <w:rPr>
          <w:noProof/>
        </w:rPr>
        <w:fldChar w:fldCharType="separate"/>
      </w:r>
      <w:r w:rsidR="001F5422">
        <w:rPr>
          <w:noProof/>
        </w:rPr>
        <w:t>15</w:t>
      </w:r>
      <w:r>
        <w:rPr>
          <w:noProof/>
        </w:rPr>
        <w:fldChar w:fldCharType="end"/>
      </w:r>
    </w:p>
    <w:p w14:paraId="77F1A714"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4.6</w:t>
      </w:r>
      <w:r>
        <w:rPr>
          <w:rFonts w:asciiTheme="minorHAnsi" w:eastAsiaTheme="minorEastAsia" w:hAnsiTheme="minorHAnsi" w:cstheme="minorBidi"/>
          <w:noProof/>
          <w:sz w:val="24"/>
          <w:szCs w:val="24"/>
          <w:lang w:val="en-GB" w:eastAsia="ja-JP"/>
        </w:rPr>
        <w:tab/>
      </w:r>
      <w:r>
        <w:rPr>
          <w:noProof/>
        </w:rPr>
        <w:t>Itemisation of Charge Categories</w:t>
      </w:r>
      <w:r>
        <w:rPr>
          <w:noProof/>
        </w:rPr>
        <w:tab/>
      </w:r>
      <w:r>
        <w:rPr>
          <w:noProof/>
        </w:rPr>
        <w:fldChar w:fldCharType="begin"/>
      </w:r>
      <w:r>
        <w:rPr>
          <w:noProof/>
        </w:rPr>
        <w:instrText xml:space="preserve"> PAGEREF _Toc409468206 \h </w:instrText>
      </w:r>
      <w:r>
        <w:rPr>
          <w:noProof/>
        </w:rPr>
      </w:r>
      <w:r>
        <w:rPr>
          <w:noProof/>
        </w:rPr>
        <w:fldChar w:fldCharType="separate"/>
      </w:r>
      <w:r w:rsidR="001F5422">
        <w:rPr>
          <w:noProof/>
        </w:rPr>
        <w:t>15</w:t>
      </w:r>
      <w:r>
        <w:rPr>
          <w:noProof/>
        </w:rPr>
        <w:fldChar w:fldCharType="end"/>
      </w:r>
    </w:p>
    <w:p w14:paraId="0CA39F15"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4.6.1</w:t>
      </w:r>
      <w:r>
        <w:rPr>
          <w:rFonts w:asciiTheme="minorHAnsi" w:eastAsiaTheme="minorEastAsia" w:hAnsiTheme="minorHAnsi" w:cstheme="minorBidi"/>
          <w:noProof/>
          <w:sz w:val="24"/>
          <w:szCs w:val="24"/>
          <w:lang w:val="en-GB" w:eastAsia="ja-JP"/>
        </w:rPr>
        <w:tab/>
      </w:r>
      <w:r w:rsidRPr="00601179">
        <w:rPr>
          <w:rFonts w:ascii="Calibri" w:hAnsi="Calibri"/>
          <w:noProof/>
        </w:rPr>
        <w:t>Examples of Product costs</w:t>
      </w:r>
      <w:r>
        <w:rPr>
          <w:noProof/>
        </w:rPr>
        <w:tab/>
      </w:r>
      <w:r>
        <w:rPr>
          <w:noProof/>
        </w:rPr>
        <w:fldChar w:fldCharType="begin"/>
      </w:r>
      <w:r>
        <w:rPr>
          <w:noProof/>
        </w:rPr>
        <w:instrText xml:space="preserve"> PAGEREF _Toc409468207 \h </w:instrText>
      </w:r>
      <w:r>
        <w:rPr>
          <w:noProof/>
        </w:rPr>
      </w:r>
      <w:r>
        <w:rPr>
          <w:noProof/>
        </w:rPr>
        <w:fldChar w:fldCharType="separate"/>
      </w:r>
      <w:r w:rsidR="001F5422">
        <w:rPr>
          <w:noProof/>
        </w:rPr>
        <w:t>16</w:t>
      </w:r>
      <w:r>
        <w:rPr>
          <w:noProof/>
        </w:rPr>
        <w:fldChar w:fldCharType="end"/>
      </w:r>
    </w:p>
    <w:p w14:paraId="7C1AAE89"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4.6.2</w:t>
      </w:r>
      <w:r>
        <w:rPr>
          <w:rFonts w:asciiTheme="minorHAnsi" w:eastAsiaTheme="minorEastAsia" w:hAnsiTheme="minorHAnsi" w:cstheme="minorBidi"/>
          <w:noProof/>
          <w:sz w:val="24"/>
          <w:szCs w:val="24"/>
          <w:lang w:val="en-GB" w:eastAsia="ja-JP"/>
        </w:rPr>
        <w:tab/>
      </w:r>
      <w:r w:rsidRPr="00601179">
        <w:rPr>
          <w:rFonts w:ascii="Calibri" w:hAnsi="Calibri"/>
          <w:noProof/>
        </w:rPr>
        <w:t>How are Product Costs for asset managers obtained?</w:t>
      </w:r>
      <w:r>
        <w:rPr>
          <w:noProof/>
        </w:rPr>
        <w:tab/>
      </w:r>
      <w:r>
        <w:rPr>
          <w:noProof/>
        </w:rPr>
        <w:fldChar w:fldCharType="begin"/>
      </w:r>
      <w:r>
        <w:rPr>
          <w:noProof/>
        </w:rPr>
        <w:instrText xml:space="preserve"> PAGEREF _Toc409468208 \h </w:instrText>
      </w:r>
      <w:r>
        <w:rPr>
          <w:noProof/>
        </w:rPr>
      </w:r>
      <w:r>
        <w:rPr>
          <w:noProof/>
        </w:rPr>
        <w:fldChar w:fldCharType="separate"/>
      </w:r>
      <w:r w:rsidR="001F5422">
        <w:rPr>
          <w:noProof/>
        </w:rPr>
        <w:t>17</w:t>
      </w:r>
      <w:r>
        <w:rPr>
          <w:noProof/>
        </w:rPr>
        <w:fldChar w:fldCharType="end"/>
      </w:r>
    </w:p>
    <w:p w14:paraId="26A6A9AB"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4.6.3</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Service Costs</w:t>
      </w:r>
      <w:r>
        <w:rPr>
          <w:noProof/>
        </w:rPr>
        <w:tab/>
      </w:r>
      <w:r>
        <w:rPr>
          <w:noProof/>
        </w:rPr>
        <w:fldChar w:fldCharType="begin"/>
      </w:r>
      <w:r>
        <w:rPr>
          <w:noProof/>
        </w:rPr>
        <w:instrText xml:space="preserve"> PAGEREF _Toc409468209 \h </w:instrText>
      </w:r>
      <w:r>
        <w:rPr>
          <w:noProof/>
        </w:rPr>
      </w:r>
      <w:r>
        <w:rPr>
          <w:noProof/>
        </w:rPr>
        <w:fldChar w:fldCharType="separate"/>
      </w:r>
      <w:r w:rsidR="001F5422">
        <w:rPr>
          <w:noProof/>
        </w:rPr>
        <w:t>18</w:t>
      </w:r>
      <w:r>
        <w:rPr>
          <w:noProof/>
        </w:rPr>
        <w:fldChar w:fldCharType="end"/>
      </w:r>
    </w:p>
    <w:p w14:paraId="62C7CE2D"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4.6.4</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How are Service Costs Calculated?</w:t>
      </w:r>
      <w:r>
        <w:rPr>
          <w:noProof/>
        </w:rPr>
        <w:tab/>
      </w:r>
      <w:r>
        <w:rPr>
          <w:noProof/>
        </w:rPr>
        <w:fldChar w:fldCharType="begin"/>
      </w:r>
      <w:r>
        <w:rPr>
          <w:noProof/>
        </w:rPr>
        <w:instrText xml:space="preserve"> PAGEREF _Toc409468210 \h </w:instrText>
      </w:r>
      <w:r>
        <w:rPr>
          <w:noProof/>
        </w:rPr>
      </w:r>
      <w:r>
        <w:rPr>
          <w:noProof/>
        </w:rPr>
        <w:fldChar w:fldCharType="separate"/>
      </w:r>
      <w:r w:rsidR="001F5422">
        <w:rPr>
          <w:noProof/>
        </w:rPr>
        <w:t>18</w:t>
      </w:r>
      <w:r>
        <w:rPr>
          <w:noProof/>
        </w:rPr>
        <w:fldChar w:fldCharType="end"/>
      </w:r>
    </w:p>
    <w:p w14:paraId="263D7203"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4.7</w:t>
      </w:r>
      <w:r>
        <w:rPr>
          <w:rFonts w:asciiTheme="minorHAnsi" w:eastAsiaTheme="minorEastAsia" w:hAnsiTheme="minorHAnsi" w:cstheme="minorBidi"/>
          <w:noProof/>
          <w:sz w:val="24"/>
          <w:szCs w:val="24"/>
          <w:lang w:val="en-GB" w:eastAsia="ja-JP"/>
        </w:rPr>
        <w:tab/>
      </w:r>
      <w:r>
        <w:rPr>
          <w:noProof/>
        </w:rPr>
        <w:t>Cumulative Effect of Costs on Return</w:t>
      </w:r>
      <w:r>
        <w:rPr>
          <w:noProof/>
        </w:rPr>
        <w:tab/>
      </w:r>
      <w:r>
        <w:rPr>
          <w:noProof/>
        </w:rPr>
        <w:fldChar w:fldCharType="begin"/>
      </w:r>
      <w:r>
        <w:rPr>
          <w:noProof/>
        </w:rPr>
        <w:instrText xml:space="preserve"> PAGEREF _Toc409468211 \h </w:instrText>
      </w:r>
      <w:r>
        <w:rPr>
          <w:noProof/>
        </w:rPr>
      </w:r>
      <w:r>
        <w:rPr>
          <w:noProof/>
        </w:rPr>
        <w:fldChar w:fldCharType="separate"/>
      </w:r>
      <w:r w:rsidR="001F5422">
        <w:rPr>
          <w:noProof/>
        </w:rPr>
        <w:t>18</w:t>
      </w:r>
      <w:r>
        <w:rPr>
          <w:noProof/>
        </w:rPr>
        <w:fldChar w:fldCharType="end"/>
      </w:r>
    </w:p>
    <w:p w14:paraId="1E4B9284"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4.8</w:t>
      </w:r>
      <w:r>
        <w:rPr>
          <w:rFonts w:asciiTheme="minorHAnsi" w:eastAsiaTheme="minorEastAsia" w:hAnsiTheme="minorHAnsi" w:cstheme="minorBidi"/>
          <w:noProof/>
          <w:sz w:val="24"/>
          <w:szCs w:val="24"/>
          <w:lang w:val="en-GB" w:eastAsia="ja-JP"/>
        </w:rPr>
        <w:tab/>
      </w:r>
      <w:r>
        <w:rPr>
          <w:noProof/>
        </w:rPr>
        <w:t>FX Conversion Rates</w:t>
      </w:r>
      <w:r>
        <w:rPr>
          <w:noProof/>
        </w:rPr>
        <w:tab/>
      </w:r>
      <w:r>
        <w:rPr>
          <w:noProof/>
        </w:rPr>
        <w:fldChar w:fldCharType="begin"/>
      </w:r>
      <w:r>
        <w:rPr>
          <w:noProof/>
        </w:rPr>
        <w:instrText xml:space="preserve"> PAGEREF _Toc409468212 \h </w:instrText>
      </w:r>
      <w:r>
        <w:rPr>
          <w:noProof/>
        </w:rPr>
      </w:r>
      <w:r>
        <w:rPr>
          <w:noProof/>
        </w:rPr>
        <w:fldChar w:fldCharType="separate"/>
      </w:r>
      <w:r w:rsidR="001F5422">
        <w:rPr>
          <w:noProof/>
        </w:rPr>
        <w:t>19</w:t>
      </w:r>
      <w:r>
        <w:rPr>
          <w:noProof/>
        </w:rPr>
        <w:fldChar w:fldCharType="end"/>
      </w:r>
    </w:p>
    <w:p w14:paraId="544098FC"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4.9</w:t>
      </w:r>
      <w:r>
        <w:rPr>
          <w:rFonts w:asciiTheme="minorHAnsi" w:eastAsiaTheme="minorEastAsia" w:hAnsiTheme="minorHAnsi" w:cstheme="minorBidi"/>
          <w:noProof/>
          <w:sz w:val="24"/>
          <w:szCs w:val="24"/>
          <w:lang w:val="en-GB" w:eastAsia="ja-JP"/>
        </w:rPr>
        <w:tab/>
      </w:r>
      <w:r>
        <w:rPr>
          <w:noProof/>
        </w:rPr>
        <w:t>Content and Layout</w:t>
      </w:r>
      <w:r>
        <w:rPr>
          <w:noProof/>
        </w:rPr>
        <w:tab/>
      </w:r>
      <w:r>
        <w:rPr>
          <w:noProof/>
        </w:rPr>
        <w:fldChar w:fldCharType="begin"/>
      </w:r>
      <w:r>
        <w:rPr>
          <w:noProof/>
        </w:rPr>
        <w:instrText xml:space="preserve"> PAGEREF _Toc409468213 \h </w:instrText>
      </w:r>
      <w:r>
        <w:rPr>
          <w:noProof/>
        </w:rPr>
      </w:r>
      <w:r>
        <w:rPr>
          <w:noProof/>
        </w:rPr>
        <w:fldChar w:fldCharType="separate"/>
      </w:r>
      <w:r w:rsidR="001F5422">
        <w:rPr>
          <w:noProof/>
        </w:rPr>
        <w:t>20</w:t>
      </w:r>
      <w:r>
        <w:rPr>
          <w:noProof/>
        </w:rPr>
        <w:fldChar w:fldCharType="end"/>
      </w:r>
    </w:p>
    <w:p w14:paraId="4D39DCE1" w14:textId="77777777" w:rsidR="00D11C47" w:rsidRDefault="00D11C47">
      <w:pPr>
        <w:pStyle w:val="TOC1"/>
        <w:tabs>
          <w:tab w:val="left" w:pos="370"/>
        </w:tabs>
        <w:rPr>
          <w:rFonts w:eastAsiaTheme="minorEastAsia" w:cstheme="minorBidi"/>
          <w:b w:val="0"/>
          <w:noProof/>
          <w:sz w:val="24"/>
          <w:szCs w:val="24"/>
          <w:lang w:val="en-GB" w:eastAsia="ja-JP"/>
        </w:rPr>
      </w:pPr>
      <w:r w:rsidRPr="00601179">
        <w:rPr>
          <w:noProof/>
          <w:lang w:val="en-GB"/>
        </w:rPr>
        <w:t>5</w:t>
      </w:r>
      <w:r>
        <w:rPr>
          <w:rFonts w:eastAsiaTheme="minorEastAsia" w:cstheme="minorBidi"/>
          <w:b w:val="0"/>
          <w:noProof/>
          <w:sz w:val="24"/>
          <w:szCs w:val="24"/>
          <w:lang w:val="en-GB" w:eastAsia="ja-JP"/>
        </w:rPr>
        <w:tab/>
      </w:r>
      <w:r w:rsidRPr="00601179">
        <w:rPr>
          <w:noProof/>
          <w:lang w:val="en-GB"/>
        </w:rPr>
        <w:t xml:space="preserve">MiFID II Ex-Ante </w:t>
      </w:r>
      <w:r w:rsidRPr="00601179">
        <w:rPr>
          <w:noProof/>
        </w:rPr>
        <w:t>discretionary portfolio management disclosures</w:t>
      </w:r>
      <w:r>
        <w:rPr>
          <w:noProof/>
        </w:rPr>
        <w:tab/>
      </w:r>
      <w:r>
        <w:rPr>
          <w:noProof/>
        </w:rPr>
        <w:fldChar w:fldCharType="begin"/>
      </w:r>
      <w:r>
        <w:rPr>
          <w:noProof/>
        </w:rPr>
        <w:instrText xml:space="preserve"> PAGEREF _Toc409468214 \h </w:instrText>
      </w:r>
      <w:r>
        <w:rPr>
          <w:noProof/>
        </w:rPr>
      </w:r>
      <w:r>
        <w:rPr>
          <w:noProof/>
        </w:rPr>
        <w:fldChar w:fldCharType="separate"/>
      </w:r>
      <w:r w:rsidR="001F5422">
        <w:rPr>
          <w:noProof/>
        </w:rPr>
        <w:t>24</w:t>
      </w:r>
      <w:r>
        <w:rPr>
          <w:noProof/>
        </w:rPr>
        <w:fldChar w:fldCharType="end"/>
      </w:r>
    </w:p>
    <w:p w14:paraId="3FDB7BB4"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5.1</w:t>
      </w:r>
      <w:r>
        <w:rPr>
          <w:rFonts w:asciiTheme="minorHAnsi" w:eastAsiaTheme="minorEastAsia" w:hAnsiTheme="minorHAnsi" w:cstheme="minorBidi"/>
          <w:noProof/>
          <w:sz w:val="24"/>
          <w:szCs w:val="24"/>
          <w:lang w:val="en-GB" w:eastAsia="ja-JP"/>
        </w:rPr>
        <w:tab/>
      </w:r>
      <w:r>
        <w:rPr>
          <w:noProof/>
        </w:rPr>
        <w:t>What (general) and who?</w:t>
      </w:r>
      <w:r>
        <w:rPr>
          <w:noProof/>
        </w:rPr>
        <w:tab/>
      </w:r>
      <w:r>
        <w:rPr>
          <w:noProof/>
        </w:rPr>
        <w:fldChar w:fldCharType="begin"/>
      </w:r>
      <w:r>
        <w:rPr>
          <w:noProof/>
        </w:rPr>
        <w:instrText xml:space="preserve"> PAGEREF _Toc409468215 \h </w:instrText>
      </w:r>
      <w:r>
        <w:rPr>
          <w:noProof/>
        </w:rPr>
      </w:r>
      <w:r>
        <w:rPr>
          <w:noProof/>
        </w:rPr>
        <w:fldChar w:fldCharType="separate"/>
      </w:r>
      <w:r w:rsidR="001F5422">
        <w:rPr>
          <w:noProof/>
        </w:rPr>
        <w:t>24</w:t>
      </w:r>
      <w:r>
        <w:rPr>
          <w:noProof/>
        </w:rPr>
        <w:fldChar w:fldCharType="end"/>
      </w:r>
    </w:p>
    <w:p w14:paraId="62258BAB"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5.2</w:t>
      </w:r>
      <w:r>
        <w:rPr>
          <w:rFonts w:asciiTheme="minorHAnsi" w:eastAsiaTheme="minorEastAsia" w:hAnsiTheme="minorHAnsi" w:cstheme="minorBidi"/>
          <w:noProof/>
          <w:sz w:val="24"/>
          <w:szCs w:val="24"/>
          <w:lang w:val="en-GB" w:eastAsia="ja-JP"/>
        </w:rPr>
        <w:tab/>
      </w:r>
      <w:r>
        <w:rPr>
          <w:noProof/>
        </w:rPr>
        <w:t>Charges Summary</w:t>
      </w:r>
      <w:r>
        <w:rPr>
          <w:noProof/>
        </w:rPr>
        <w:tab/>
      </w:r>
      <w:r>
        <w:rPr>
          <w:noProof/>
        </w:rPr>
        <w:fldChar w:fldCharType="begin"/>
      </w:r>
      <w:r>
        <w:rPr>
          <w:noProof/>
        </w:rPr>
        <w:instrText xml:space="preserve"> PAGEREF _Toc409468216 \h </w:instrText>
      </w:r>
      <w:r>
        <w:rPr>
          <w:noProof/>
        </w:rPr>
      </w:r>
      <w:r>
        <w:rPr>
          <w:noProof/>
        </w:rPr>
        <w:fldChar w:fldCharType="separate"/>
      </w:r>
      <w:r w:rsidR="001F5422">
        <w:rPr>
          <w:noProof/>
        </w:rPr>
        <w:t>24</w:t>
      </w:r>
      <w:r>
        <w:rPr>
          <w:noProof/>
        </w:rPr>
        <w:fldChar w:fldCharType="end"/>
      </w:r>
    </w:p>
    <w:p w14:paraId="556C12CF"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5.3</w:t>
      </w:r>
      <w:r>
        <w:rPr>
          <w:rFonts w:asciiTheme="minorHAnsi" w:eastAsiaTheme="minorEastAsia" w:hAnsiTheme="minorHAnsi" w:cstheme="minorBidi"/>
          <w:noProof/>
          <w:sz w:val="24"/>
          <w:szCs w:val="24"/>
          <w:lang w:val="en-GB" w:eastAsia="ja-JP"/>
        </w:rPr>
        <w:tab/>
      </w:r>
      <w:r>
        <w:rPr>
          <w:noProof/>
        </w:rPr>
        <w:t>When?</w:t>
      </w:r>
      <w:r>
        <w:rPr>
          <w:noProof/>
        </w:rPr>
        <w:tab/>
      </w:r>
      <w:r>
        <w:rPr>
          <w:noProof/>
        </w:rPr>
        <w:fldChar w:fldCharType="begin"/>
      </w:r>
      <w:r>
        <w:rPr>
          <w:noProof/>
        </w:rPr>
        <w:instrText xml:space="preserve"> PAGEREF _Toc409468217 \h </w:instrText>
      </w:r>
      <w:r>
        <w:rPr>
          <w:noProof/>
        </w:rPr>
      </w:r>
      <w:r>
        <w:rPr>
          <w:noProof/>
        </w:rPr>
        <w:fldChar w:fldCharType="separate"/>
      </w:r>
      <w:r w:rsidR="001F5422">
        <w:rPr>
          <w:noProof/>
        </w:rPr>
        <w:t>24</w:t>
      </w:r>
      <w:r>
        <w:rPr>
          <w:noProof/>
        </w:rPr>
        <w:fldChar w:fldCharType="end"/>
      </w:r>
    </w:p>
    <w:p w14:paraId="2E1A7A6C"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5.4</w:t>
      </w:r>
      <w:r>
        <w:rPr>
          <w:rFonts w:asciiTheme="minorHAnsi" w:eastAsiaTheme="minorEastAsia" w:hAnsiTheme="minorHAnsi" w:cstheme="minorBidi"/>
          <w:noProof/>
          <w:sz w:val="24"/>
          <w:szCs w:val="24"/>
          <w:lang w:val="en-GB" w:eastAsia="ja-JP"/>
        </w:rPr>
        <w:tab/>
      </w:r>
      <w:r>
        <w:rPr>
          <w:noProof/>
        </w:rPr>
        <w:t>What (more detailed)</w:t>
      </w:r>
      <w:r>
        <w:rPr>
          <w:noProof/>
        </w:rPr>
        <w:tab/>
      </w:r>
      <w:r>
        <w:rPr>
          <w:noProof/>
        </w:rPr>
        <w:fldChar w:fldCharType="begin"/>
      </w:r>
      <w:r>
        <w:rPr>
          <w:noProof/>
        </w:rPr>
        <w:instrText xml:space="preserve"> PAGEREF _Toc409468218 \h </w:instrText>
      </w:r>
      <w:r>
        <w:rPr>
          <w:noProof/>
        </w:rPr>
      </w:r>
      <w:r>
        <w:rPr>
          <w:noProof/>
        </w:rPr>
        <w:fldChar w:fldCharType="separate"/>
      </w:r>
      <w:r w:rsidR="001F5422">
        <w:rPr>
          <w:noProof/>
        </w:rPr>
        <w:t>25</w:t>
      </w:r>
      <w:r>
        <w:rPr>
          <w:noProof/>
        </w:rPr>
        <w:fldChar w:fldCharType="end"/>
      </w:r>
    </w:p>
    <w:p w14:paraId="48D7584D" w14:textId="77777777" w:rsidR="00D11C47" w:rsidRDefault="00D11C47">
      <w:pPr>
        <w:pStyle w:val="TOC2"/>
        <w:tabs>
          <w:tab w:val="left" w:pos="749"/>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cs="Segoe UI"/>
          <w:noProof/>
          <w:lang w:val="fr-CA"/>
        </w:rPr>
        <w:t>5.5</w:t>
      </w:r>
      <w:r>
        <w:rPr>
          <w:rFonts w:asciiTheme="minorHAnsi" w:eastAsiaTheme="minorEastAsia" w:hAnsiTheme="minorHAnsi" w:cstheme="minorBidi"/>
          <w:noProof/>
          <w:sz w:val="24"/>
          <w:szCs w:val="24"/>
          <w:lang w:val="en-GB" w:eastAsia="ja-JP"/>
        </w:rPr>
        <w:tab/>
      </w:r>
      <w:r w:rsidRPr="00601179">
        <w:rPr>
          <w:rFonts w:asciiTheme="minorHAnsi" w:hAnsiTheme="minorHAnsi" w:cs="Segoe UI"/>
          <w:noProof/>
          <w:lang w:val="fr-CA"/>
        </w:rPr>
        <w:t>Example Ex-Ante DPM Template</w:t>
      </w:r>
      <w:r>
        <w:rPr>
          <w:noProof/>
        </w:rPr>
        <w:tab/>
      </w:r>
      <w:r>
        <w:rPr>
          <w:noProof/>
        </w:rPr>
        <w:fldChar w:fldCharType="begin"/>
      </w:r>
      <w:r>
        <w:rPr>
          <w:noProof/>
        </w:rPr>
        <w:instrText xml:space="preserve"> PAGEREF _Toc409468219 \h </w:instrText>
      </w:r>
      <w:r>
        <w:rPr>
          <w:noProof/>
        </w:rPr>
      </w:r>
      <w:r>
        <w:rPr>
          <w:noProof/>
        </w:rPr>
        <w:fldChar w:fldCharType="separate"/>
      </w:r>
      <w:r w:rsidR="001F5422">
        <w:rPr>
          <w:noProof/>
        </w:rPr>
        <w:t>26</w:t>
      </w:r>
      <w:r>
        <w:rPr>
          <w:noProof/>
        </w:rPr>
        <w:fldChar w:fldCharType="end"/>
      </w:r>
    </w:p>
    <w:p w14:paraId="08635E5D"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5.6</w:t>
      </w:r>
      <w:r>
        <w:rPr>
          <w:rFonts w:asciiTheme="minorHAnsi" w:eastAsiaTheme="minorEastAsia" w:hAnsiTheme="minorHAnsi" w:cstheme="minorBidi"/>
          <w:noProof/>
          <w:sz w:val="24"/>
          <w:szCs w:val="24"/>
          <w:lang w:val="en-GB" w:eastAsia="ja-JP"/>
        </w:rPr>
        <w:tab/>
      </w:r>
      <w:r>
        <w:rPr>
          <w:noProof/>
        </w:rPr>
        <w:t>Allocating the different costs of a DPM service to the different cost categories in the template</w:t>
      </w:r>
      <w:r>
        <w:rPr>
          <w:noProof/>
        </w:rPr>
        <w:tab/>
      </w:r>
      <w:r>
        <w:rPr>
          <w:noProof/>
        </w:rPr>
        <w:fldChar w:fldCharType="begin"/>
      </w:r>
      <w:r>
        <w:rPr>
          <w:noProof/>
        </w:rPr>
        <w:instrText xml:space="preserve"> PAGEREF _Toc409468220 \h </w:instrText>
      </w:r>
      <w:r>
        <w:rPr>
          <w:noProof/>
        </w:rPr>
      </w:r>
      <w:r>
        <w:rPr>
          <w:noProof/>
        </w:rPr>
        <w:fldChar w:fldCharType="separate"/>
      </w:r>
      <w:r w:rsidR="001F5422">
        <w:rPr>
          <w:noProof/>
        </w:rPr>
        <w:t>30</w:t>
      </w:r>
      <w:r>
        <w:rPr>
          <w:noProof/>
        </w:rPr>
        <w:fldChar w:fldCharType="end"/>
      </w:r>
    </w:p>
    <w:p w14:paraId="6727C7D6" w14:textId="77777777" w:rsidR="00D11C47" w:rsidRDefault="00D11C47">
      <w:pPr>
        <w:pStyle w:val="TOC1"/>
        <w:tabs>
          <w:tab w:val="left" w:pos="370"/>
        </w:tabs>
        <w:rPr>
          <w:rFonts w:eastAsiaTheme="minorEastAsia" w:cstheme="minorBidi"/>
          <w:b w:val="0"/>
          <w:noProof/>
          <w:sz w:val="24"/>
          <w:szCs w:val="24"/>
          <w:lang w:val="en-GB" w:eastAsia="ja-JP"/>
        </w:rPr>
      </w:pPr>
      <w:r w:rsidRPr="00601179">
        <w:rPr>
          <w:bCs/>
          <w:noProof/>
        </w:rPr>
        <w:t>6</w:t>
      </w:r>
      <w:r>
        <w:rPr>
          <w:rFonts w:eastAsiaTheme="minorEastAsia" w:cstheme="minorBidi"/>
          <w:b w:val="0"/>
          <w:noProof/>
          <w:sz w:val="24"/>
          <w:szCs w:val="24"/>
          <w:lang w:val="en-GB" w:eastAsia="ja-JP"/>
        </w:rPr>
        <w:tab/>
      </w:r>
      <w:r w:rsidRPr="00601179">
        <w:rPr>
          <w:bCs/>
          <w:noProof/>
        </w:rPr>
        <w:t>Ex-Post Fund Manufacturer and Distributor Disclosures</w:t>
      </w:r>
      <w:r>
        <w:rPr>
          <w:noProof/>
        </w:rPr>
        <w:tab/>
      </w:r>
      <w:r>
        <w:rPr>
          <w:noProof/>
        </w:rPr>
        <w:fldChar w:fldCharType="begin"/>
      </w:r>
      <w:r>
        <w:rPr>
          <w:noProof/>
        </w:rPr>
        <w:instrText xml:space="preserve"> PAGEREF _Toc409468221 \h </w:instrText>
      </w:r>
      <w:r>
        <w:rPr>
          <w:noProof/>
        </w:rPr>
      </w:r>
      <w:r>
        <w:rPr>
          <w:noProof/>
        </w:rPr>
        <w:fldChar w:fldCharType="separate"/>
      </w:r>
      <w:r w:rsidR="001F5422">
        <w:rPr>
          <w:noProof/>
        </w:rPr>
        <w:t>31</w:t>
      </w:r>
      <w:r>
        <w:rPr>
          <w:noProof/>
        </w:rPr>
        <w:fldChar w:fldCharType="end"/>
      </w:r>
    </w:p>
    <w:p w14:paraId="7C2A4377"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6.1.1</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Introduction</w:t>
      </w:r>
      <w:r>
        <w:rPr>
          <w:noProof/>
        </w:rPr>
        <w:tab/>
      </w:r>
      <w:r>
        <w:rPr>
          <w:noProof/>
        </w:rPr>
        <w:fldChar w:fldCharType="begin"/>
      </w:r>
      <w:r>
        <w:rPr>
          <w:noProof/>
        </w:rPr>
        <w:instrText xml:space="preserve"> PAGEREF _Toc409468222 \h </w:instrText>
      </w:r>
      <w:r>
        <w:rPr>
          <w:noProof/>
        </w:rPr>
      </w:r>
      <w:r>
        <w:rPr>
          <w:noProof/>
        </w:rPr>
        <w:fldChar w:fldCharType="separate"/>
      </w:r>
      <w:r w:rsidR="001F5422">
        <w:rPr>
          <w:noProof/>
        </w:rPr>
        <w:t>31</w:t>
      </w:r>
      <w:r>
        <w:rPr>
          <w:noProof/>
        </w:rPr>
        <w:fldChar w:fldCharType="end"/>
      </w:r>
    </w:p>
    <w:p w14:paraId="7C6B2D8E"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6.1.2</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Who creates and receives the Ex-Post data?</w:t>
      </w:r>
      <w:r>
        <w:rPr>
          <w:noProof/>
        </w:rPr>
        <w:tab/>
      </w:r>
      <w:r>
        <w:rPr>
          <w:noProof/>
        </w:rPr>
        <w:fldChar w:fldCharType="begin"/>
      </w:r>
      <w:r>
        <w:rPr>
          <w:noProof/>
        </w:rPr>
        <w:instrText xml:space="preserve"> PAGEREF _Toc409468223 \h </w:instrText>
      </w:r>
      <w:r>
        <w:rPr>
          <w:noProof/>
        </w:rPr>
      </w:r>
      <w:r>
        <w:rPr>
          <w:noProof/>
        </w:rPr>
        <w:fldChar w:fldCharType="separate"/>
      </w:r>
      <w:r w:rsidR="001F5422">
        <w:rPr>
          <w:noProof/>
        </w:rPr>
        <w:t>31</w:t>
      </w:r>
      <w:r>
        <w:rPr>
          <w:noProof/>
        </w:rPr>
        <w:fldChar w:fldCharType="end"/>
      </w:r>
    </w:p>
    <w:p w14:paraId="36BF8E35"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6.1.3</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Method of Ex-Post Data Exchange</w:t>
      </w:r>
      <w:r>
        <w:rPr>
          <w:noProof/>
        </w:rPr>
        <w:tab/>
      </w:r>
      <w:r>
        <w:rPr>
          <w:noProof/>
        </w:rPr>
        <w:fldChar w:fldCharType="begin"/>
      </w:r>
      <w:r>
        <w:rPr>
          <w:noProof/>
        </w:rPr>
        <w:instrText xml:space="preserve"> PAGEREF _Toc409468224 \h </w:instrText>
      </w:r>
      <w:r>
        <w:rPr>
          <w:noProof/>
        </w:rPr>
      </w:r>
      <w:r>
        <w:rPr>
          <w:noProof/>
        </w:rPr>
        <w:fldChar w:fldCharType="separate"/>
      </w:r>
      <w:r w:rsidR="001F5422">
        <w:rPr>
          <w:noProof/>
        </w:rPr>
        <w:t>32</w:t>
      </w:r>
      <w:r>
        <w:rPr>
          <w:noProof/>
        </w:rPr>
        <w:fldChar w:fldCharType="end"/>
      </w:r>
    </w:p>
    <w:p w14:paraId="6DBF5733"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6.1.4</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Timing of Ex-Post disclosures</w:t>
      </w:r>
      <w:r>
        <w:rPr>
          <w:noProof/>
        </w:rPr>
        <w:tab/>
      </w:r>
      <w:r>
        <w:rPr>
          <w:noProof/>
        </w:rPr>
        <w:fldChar w:fldCharType="begin"/>
      </w:r>
      <w:r>
        <w:rPr>
          <w:noProof/>
        </w:rPr>
        <w:instrText xml:space="preserve"> PAGEREF _Toc409468225 \h </w:instrText>
      </w:r>
      <w:r>
        <w:rPr>
          <w:noProof/>
        </w:rPr>
      </w:r>
      <w:r>
        <w:rPr>
          <w:noProof/>
        </w:rPr>
        <w:fldChar w:fldCharType="separate"/>
      </w:r>
      <w:r w:rsidR="001F5422">
        <w:rPr>
          <w:noProof/>
        </w:rPr>
        <w:t>32</w:t>
      </w:r>
      <w:r>
        <w:rPr>
          <w:noProof/>
        </w:rPr>
        <w:fldChar w:fldCharType="end"/>
      </w:r>
    </w:p>
    <w:p w14:paraId="60813876"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6.1.5</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How should the Manufacturer communicate one-off costs to distributors?</w:t>
      </w:r>
      <w:r>
        <w:rPr>
          <w:noProof/>
        </w:rPr>
        <w:tab/>
      </w:r>
      <w:r>
        <w:rPr>
          <w:noProof/>
        </w:rPr>
        <w:fldChar w:fldCharType="begin"/>
      </w:r>
      <w:r>
        <w:rPr>
          <w:noProof/>
        </w:rPr>
        <w:instrText xml:space="preserve"> PAGEREF _Toc409468226 \h </w:instrText>
      </w:r>
      <w:r>
        <w:rPr>
          <w:noProof/>
        </w:rPr>
      </w:r>
      <w:r>
        <w:rPr>
          <w:noProof/>
        </w:rPr>
        <w:fldChar w:fldCharType="separate"/>
      </w:r>
      <w:r w:rsidR="001F5422">
        <w:rPr>
          <w:noProof/>
        </w:rPr>
        <w:t>34</w:t>
      </w:r>
      <w:r>
        <w:rPr>
          <w:noProof/>
        </w:rPr>
        <w:fldChar w:fldCharType="end"/>
      </w:r>
    </w:p>
    <w:p w14:paraId="585FE74C"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lastRenderedPageBreak/>
        <w:t>6.2</w:t>
      </w:r>
      <w:r>
        <w:rPr>
          <w:rFonts w:asciiTheme="minorHAnsi" w:eastAsiaTheme="minorEastAsia" w:hAnsiTheme="minorHAnsi" w:cstheme="minorBidi"/>
          <w:noProof/>
          <w:sz w:val="24"/>
          <w:szCs w:val="24"/>
          <w:lang w:val="en-GB" w:eastAsia="ja-JP"/>
        </w:rPr>
        <w:tab/>
      </w:r>
      <w:r>
        <w:rPr>
          <w:noProof/>
        </w:rPr>
        <w:t>Ex-Post Reporting Disclosures for Distributors</w:t>
      </w:r>
      <w:r>
        <w:rPr>
          <w:noProof/>
        </w:rPr>
        <w:tab/>
      </w:r>
      <w:r>
        <w:rPr>
          <w:noProof/>
        </w:rPr>
        <w:fldChar w:fldCharType="begin"/>
      </w:r>
      <w:r>
        <w:rPr>
          <w:noProof/>
        </w:rPr>
        <w:instrText xml:space="preserve"> PAGEREF _Toc409468227 \h </w:instrText>
      </w:r>
      <w:r>
        <w:rPr>
          <w:noProof/>
        </w:rPr>
      </w:r>
      <w:r>
        <w:rPr>
          <w:noProof/>
        </w:rPr>
        <w:fldChar w:fldCharType="separate"/>
      </w:r>
      <w:r w:rsidR="001F5422">
        <w:rPr>
          <w:noProof/>
        </w:rPr>
        <w:t>34</w:t>
      </w:r>
      <w:r>
        <w:rPr>
          <w:noProof/>
        </w:rPr>
        <w:fldChar w:fldCharType="end"/>
      </w:r>
    </w:p>
    <w:p w14:paraId="7239460B"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6.2.1</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Content/Template</w:t>
      </w:r>
      <w:r>
        <w:rPr>
          <w:noProof/>
        </w:rPr>
        <w:tab/>
      </w:r>
      <w:r>
        <w:rPr>
          <w:noProof/>
        </w:rPr>
        <w:fldChar w:fldCharType="begin"/>
      </w:r>
      <w:r>
        <w:rPr>
          <w:noProof/>
        </w:rPr>
        <w:instrText xml:space="preserve"> PAGEREF _Toc409468228 \h </w:instrText>
      </w:r>
      <w:r>
        <w:rPr>
          <w:noProof/>
        </w:rPr>
      </w:r>
      <w:r>
        <w:rPr>
          <w:noProof/>
        </w:rPr>
        <w:fldChar w:fldCharType="separate"/>
      </w:r>
      <w:r w:rsidR="001F5422">
        <w:rPr>
          <w:noProof/>
        </w:rPr>
        <w:t>34</w:t>
      </w:r>
      <w:r>
        <w:rPr>
          <w:noProof/>
        </w:rPr>
        <w:fldChar w:fldCharType="end"/>
      </w:r>
    </w:p>
    <w:p w14:paraId="1A41025E"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6.2.2</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Ex-Post Fund Manufacturer Template</w:t>
      </w:r>
      <w:r>
        <w:rPr>
          <w:noProof/>
        </w:rPr>
        <w:tab/>
      </w:r>
      <w:r>
        <w:rPr>
          <w:noProof/>
        </w:rPr>
        <w:fldChar w:fldCharType="begin"/>
      </w:r>
      <w:r>
        <w:rPr>
          <w:noProof/>
        </w:rPr>
        <w:instrText xml:space="preserve"> PAGEREF _Toc409468229 \h </w:instrText>
      </w:r>
      <w:r>
        <w:rPr>
          <w:noProof/>
        </w:rPr>
      </w:r>
      <w:r>
        <w:rPr>
          <w:noProof/>
        </w:rPr>
        <w:fldChar w:fldCharType="separate"/>
      </w:r>
      <w:r w:rsidR="001F5422">
        <w:rPr>
          <w:noProof/>
        </w:rPr>
        <w:t>35</w:t>
      </w:r>
      <w:r>
        <w:rPr>
          <w:noProof/>
        </w:rPr>
        <w:fldChar w:fldCharType="end"/>
      </w:r>
    </w:p>
    <w:p w14:paraId="4B04990E"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6.2.3</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Ex-Post Fund Distributor Template</w:t>
      </w:r>
      <w:r>
        <w:rPr>
          <w:noProof/>
        </w:rPr>
        <w:tab/>
      </w:r>
      <w:r>
        <w:rPr>
          <w:noProof/>
        </w:rPr>
        <w:fldChar w:fldCharType="begin"/>
      </w:r>
      <w:r>
        <w:rPr>
          <w:noProof/>
        </w:rPr>
        <w:instrText xml:space="preserve"> PAGEREF _Toc409468230 \h </w:instrText>
      </w:r>
      <w:r>
        <w:rPr>
          <w:noProof/>
        </w:rPr>
      </w:r>
      <w:r>
        <w:rPr>
          <w:noProof/>
        </w:rPr>
        <w:fldChar w:fldCharType="separate"/>
      </w:r>
      <w:r w:rsidR="001F5422">
        <w:rPr>
          <w:noProof/>
        </w:rPr>
        <w:t>36</w:t>
      </w:r>
      <w:r>
        <w:rPr>
          <w:noProof/>
        </w:rPr>
        <w:fldChar w:fldCharType="end"/>
      </w:r>
    </w:p>
    <w:p w14:paraId="0A707DD0"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6.2.4</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Ex-Post Funds Cost and Charges Disclosure – Advisory Portfolio Template</w:t>
      </w:r>
      <w:r>
        <w:rPr>
          <w:noProof/>
        </w:rPr>
        <w:tab/>
      </w:r>
      <w:r>
        <w:rPr>
          <w:noProof/>
        </w:rPr>
        <w:fldChar w:fldCharType="begin"/>
      </w:r>
      <w:r>
        <w:rPr>
          <w:noProof/>
        </w:rPr>
        <w:instrText xml:space="preserve"> PAGEREF _Toc409468231 \h </w:instrText>
      </w:r>
      <w:r>
        <w:rPr>
          <w:noProof/>
        </w:rPr>
      </w:r>
      <w:r>
        <w:rPr>
          <w:noProof/>
        </w:rPr>
        <w:fldChar w:fldCharType="separate"/>
      </w:r>
      <w:r w:rsidR="001F5422">
        <w:rPr>
          <w:noProof/>
        </w:rPr>
        <w:t>38</w:t>
      </w:r>
      <w:r>
        <w:rPr>
          <w:noProof/>
        </w:rPr>
        <w:fldChar w:fldCharType="end"/>
      </w:r>
    </w:p>
    <w:p w14:paraId="1897523B"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6.2.5</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Third-party payments received by the investment firm</w:t>
      </w:r>
      <w:r>
        <w:rPr>
          <w:noProof/>
        </w:rPr>
        <w:tab/>
      </w:r>
      <w:r>
        <w:rPr>
          <w:noProof/>
        </w:rPr>
        <w:fldChar w:fldCharType="begin"/>
      </w:r>
      <w:r>
        <w:rPr>
          <w:noProof/>
        </w:rPr>
        <w:instrText xml:space="preserve"> PAGEREF _Toc409468232 \h </w:instrText>
      </w:r>
      <w:r>
        <w:rPr>
          <w:noProof/>
        </w:rPr>
      </w:r>
      <w:r>
        <w:rPr>
          <w:noProof/>
        </w:rPr>
        <w:fldChar w:fldCharType="separate"/>
      </w:r>
      <w:r w:rsidR="001F5422">
        <w:rPr>
          <w:noProof/>
        </w:rPr>
        <w:t>40</w:t>
      </w:r>
      <w:r>
        <w:rPr>
          <w:noProof/>
        </w:rPr>
        <w:fldChar w:fldCharType="end"/>
      </w:r>
    </w:p>
    <w:p w14:paraId="003A67B8"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6.3</w:t>
      </w:r>
      <w:r>
        <w:rPr>
          <w:rFonts w:asciiTheme="minorHAnsi" w:eastAsiaTheme="minorEastAsia" w:hAnsiTheme="minorHAnsi" w:cstheme="minorBidi"/>
          <w:noProof/>
          <w:sz w:val="24"/>
          <w:szCs w:val="24"/>
          <w:lang w:val="en-GB" w:eastAsia="ja-JP"/>
        </w:rPr>
        <w:tab/>
      </w:r>
      <w:r>
        <w:rPr>
          <w:noProof/>
        </w:rPr>
        <w:t>Disclosure of zero cost where no cost or charge incurred</w:t>
      </w:r>
      <w:r>
        <w:rPr>
          <w:noProof/>
        </w:rPr>
        <w:tab/>
      </w:r>
      <w:r>
        <w:rPr>
          <w:noProof/>
        </w:rPr>
        <w:fldChar w:fldCharType="begin"/>
      </w:r>
      <w:r>
        <w:rPr>
          <w:noProof/>
        </w:rPr>
        <w:instrText xml:space="preserve"> PAGEREF _Toc409468233 \h </w:instrText>
      </w:r>
      <w:r>
        <w:rPr>
          <w:noProof/>
        </w:rPr>
      </w:r>
      <w:r>
        <w:rPr>
          <w:noProof/>
        </w:rPr>
        <w:fldChar w:fldCharType="separate"/>
      </w:r>
      <w:r w:rsidR="001F5422">
        <w:rPr>
          <w:noProof/>
        </w:rPr>
        <w:t>40</w:t>
      </w:r>
      <w:r>
        <w:rPr>
          <w:noProof/>
        </w:rPr>
        <w:fldChar w:fldCharType="end"/>
      </w:r>
    </w:p>
    <w:p w14:paraId="5BA9BFDB"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6.4</w:t>
      </w:r>
      <w:r>
        <w:rPr>
          <w:rFonts w:asciiTheme="minorHAnsi" w:eastAsiaTheme="minorEastAsia" w:hAnsiTheme="minorHAnsi" w:cstheme="minorBidi"/>
          <w:noProof/>
          <w:sz w:val="24"/>
          <w:szCs w:val="24"/>
          <w:lang w:val="en-GB" w:eastAsia="ja-JP"/>
        </w:rPr>
        <w:tab/>
      </w:r>
      <w:r>
        <w:rPr>
          <w:noProof/>
        </w:rPr>
        <w:t>Fund of Funds and Multi-Strategy Portfolio Reporting</w:t>
      </w:r>
      <w:r>
        <w:rPr>
          <w:noProof/>
        </w:rPr>
        <w:tab/>
      </w:r>
      <w:r>
        <w:rPr>
          <w:noProof/>
        </w:rPr>
        <w:fldChar w:fldCharType="begin"/>
      </w:r>
      <w:r>
        <w:rPr>
          <w:noProof/>
        </w:rPr>
        <w:instrText xml:space="preserve"> PAGEREF _Toc409468234 \h </w:instrText>
      </w:r>
      <w:r>
        <w:rPr>
          <w:noProof/>
        </w:rPr>
      </w:r>
      <w:r>
        <w:rPr>
          <w:noProof/>
        </w:rPr>
        <w:fldChar w:fldCharType="separate"/>
      </w:r>
      <w:r w:rsidR="001F5422">
        <w:rPr>
          <w:noProof/>
        </w:rPr>
        <w:t>41</w:t>
      </w:r>
      <w:r>
        <w:rPr>
          <w:noProof/>
        </w:rPr>
        <w:fldChar w:fldCharType="end"/>
      </w:r>
    </w:p>
    <w:p w14:paraId="1A320F60"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6.4.1</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Sourcing cost &amp; charges data for Fund of Funds</w:t>
      </w:r>
      <w:r>
        <w:rPr>
          <w:noProof/>
        </w:rPr>
        <w:tab/>
      </w:r>
      <w:r>
        <w:rPr>
          <w:noProof/>
        </w:rPr>
        <w:fldChar w:fldCharType="begin"/>
      </w:r>
      <w:r>
        <w:rPr>
          <w:noProof/>
        </w:rPr>
        <w:instrText xml:space="preserve"> PAGEREF _Toc409468235 \h </w:instrText>
      </w:r>
      <w:r>
        <w:rPr>
          <w:noProof/>
        </w:rPr>
      </w:r>
      <w:r>
        <w:rPr>
          <w:noProof/>
        </w:rPr>
        <w:fldChar w:fldCharType="separate"/>
      </w:r>
      <w:r w:rsidR="001F5422">
        <w:rPr>
          <w:noProof/>
        </w:rPr>
        <w:t>41</w:t>
      </w:r>
      <w:r>
        <w:rPr>
          <w:noProof/>
        </w:rPr>
        <w:fldChar w:fldCharType="end"/>
      </w:r>
    </w:p>
    <w:p w14:paraId="0D849D6F"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6.4.2</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Look-through materiality for multi-strategy portfolios</w:t>
      </w:r>
      <w:r>
        <w:rPr>
          <w:noProof/>
        </w:rPr>
        <w:tab/>
      </w:r>
      <w:r>
        <w:rPr>
          <w:noProof/>
        </w:rPr>
        <w:fldChar w:fldCharType="begin"/>
      </w:r>
      <w:r>
        <w:rPr>
          <w:noProof/>
        </w:rPr>
        <w:instrText xml:space="preserve"> PAGEREF _Toc409468236 \h </w:instrText>
      </w:r>
      <w:r>
        <w:rPr>
          <w:noProof/>
        </w:rPr>
      </w:r>
      <w:r>
        <w:rPr>
          <w:noProof/>
        </w:rPr>
        <w:fldChar w:fldCharType="separate"/>
      </w:r>
      <w:r w:rsidR="001F5422">
        <w:rPr>
          <w:noProof/>
        </w:rPr>
        <w:t>41</w:t>
      </w:r>
      <w:r>
        <w:rPr>
          <w:noProof/>
        </w:rPr>
        <w:fldChar w:fldCharType="end"/>
      </w:r>
    </w:p>
    <w:p w14:paraId="339870B5"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cstheme="minorHAnsi"/>
          <w:noProof/>
        </w:rPr>
        <w:t>6.4.3</w:t>
      </w:r>
      <w:r>
        <w:rPr>
          <w:rFonts w:asciiTheme="minorHAnsi" w:eastAsiaTheme="minorEastAsia" w:hAnsiTheme="minorHAnsi" w:cstheme="minorBidi"/>
          <w:noProof/>
          <w:sz w:val="24"/>
          <w:szCs w:val="24"/>
          <w:lang w:val="en-GB" w:eastAsia="ja-JP"/>
        </w:rPr>
        <w:tab/>
      </w:r>
      <w:r w:rsidRPr="00601179">
        <w:rPr>
          <w:rFonts w:asciiTheme="minorHAnsi" w:hAnsiTheme="minorHAnsi" w:cstheme="minorHAnsi"/>
          <w:noProof/>
        </w:rPr>
        <w:t>What do we do in the case of non-EEA funds that are not obligated to provide MiFID compliant data?</w:t>
      </w:r>
      <w:r>
        <w:rPr>
          <w:noProof/>
        </w:rPr>
        <w:tab/>
      </w:r>
      <w:r>
        <w:rPr>
          <w:noProof/>
        </w:rPr>
        <w:fldChar w:fldCharType="begin"/>
      </w:r>
      <w:r>
        <w:rPr>
          <w:noProof/>
        </w:rPr>
        <w:instrText xml:space="preserve"> PAGEREF _Toc409468237 \h </w:instrText>
      </w:r>
      <w:r>
        <w:rPr>
          <w:noProof/>
        </w:rPr>
      </w:r>
      <w:r>
        <w:rPr>
          <w:noProof/>
        </w:rPr>
        <w:fldChar w:fldCharType="separate"/>
      </w:r>
      <w:r w:rsidR="001F5422">
        <w:rPr>
          <w:noProof/>
        </w:rPr>
        <w:t>42</w:t>
      </w:r>
      <w:r>
        <w:rPr>
          <w:noProof/>
        </w:rPr>
        <w:fldChar w:fldCharType="end"/>
      </w:r>
    </w:p>
    <w:p w14:paraId="7A28B13B"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6.4.4</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Cumulative Effect of cost and charges on return</w:t>
      </w:r>
      <w:r>
        <w:rPr>
          <w:noProof/>
        </w:rPr>
        <w:tab/>
      </w:r>
      <w:r>
        <w:rPr>
          <w:noProof/>
        </w:rPr>
        <w:fldChar w:fldCharType="begin"/>
      </w:r>
      <w:r>
        <w:rPr>
          <w:noProof/>
        </w:rPr>
        <w:instrText xml:space="preserve"> PAGEREF _Toc409468238 \h </w:instrText>
      </w:r>
      <w:r>
        <w:rPr>
          <w:noProof/>
        </w:rPr>
      </w:r>
      <w:r>
        <w:rPr>
          <w:noProof/>
        </w:rPr>
        <w:fldChar w:fldCharType="separate"/>
      </w:r>
      <w:r w:rsidR="001F5422">
        <w:rPr>
          <w:noProof/>
        </w:rPr>
        <w:t>43</w:t>
      </w:r>
      <w:r>
        <w:rPr>
          <w:noProof/>
        </w:rPr>
        <w:fldChar w:fldCharType="end"/>
      </w:r>
    </w:p>
    <w:p w14:paraId="062430B4" w14:textId="77777777" w:rsidR="00D11C47" w:rsidRDefault="00D11C47">
      <w:pPr>
        <w:pStyle w:val="TOC2"/>
        <w:tabs>
          <w:tab w:val="left" w:pos="766"/>
          <w:tab w:val="right" w:leader="dot" w:pos="9016"/>
        </w:tabs>
        <w:rPr>
          <w:rFonts w:asciiTheme="minorHAnsi" w:eastAsiaTheme="minorEastAsia" w:hAnsiTheme="minorHAnsi" w:cstheme="minorBidi"/>
          <w:noProof/>
          <w:sz w:val="24"/>
          <w:szCs w:val="24"/>
          <w:lang w:val="en-GB" w:eastAsia="ja-JP"/>
        </w:rPr>
      </w:pPr>
      <w:r>
        <w:rPr>
          <w:noProof/>
        </w:rPr>
        <w:t>6.5</w:t>
      </w:r>
      <w:r>
        <w:rPr>
          <w:rFonts w:asciiTheme="minorHAnsi" w:eastAsiaTheme="minorEastAsia" w:hAnsiTheme="minorHAnsi" w:cstheme="minorBidi"/>
          <w:noProof/>
          <w:sz w:val="24"/>
          <w:szCs w:val="24"/>
          <w:lang w:val="en-GB" w:eastAsia="ja-JP"/>
        </w:rPr>
        <w:tab/>
      </w:r>
      <w:r>
        <w:rPr>
          <w:noProof/>
        </w:rPr>
        <w:t>Ex-Post Discretionary Portfolio Reporting: Methods of Reporting</w:t>
      </w:r>
      <w:r>
        <w:rPr>
          <w:noProof/>
        </w:rPr>
        <w:tab/>
      </w:r>
      <w:r>
        <w:rPr>
          <w:noProof/>
        </w:rPr>
        <w:fldChar w:fldCharType="begin"/>
      </w:r>
      <w:r>
        <w:rPr>
          <w:noProof/>
        </w:rPr>
        <w:instrText xml:space="preserve"> PAGEREF _Toc409468239 \h </w:instrText>
      </w:r>
      <w:r>
        <w:rPr>
          <w:noProof/>
        </w:rPr>
      </w:r>
      <w:r>
        <w:rPr>
          <w:noProof/>
        </w:rPr>
        <w:fldChar w:fldCharType="separate"/>
      </w:r>
      <w:r w:rsidR="001F5422">
        <w:rPr>
          <w:noProof/>
        </w:rPr>
        <w:t>44</w:t>
      </w:r>
      <w:r>
        <w:rPr>
          <w:noProof/>
        </w:rPr>
        <w:fldChar w:fldCharType="end"/>
      </w:r>
    </w:p>
    <w:p w14:paraId="356D1E11"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6.5.1</w:t>
      </w:r>
      <w:r>
        <w:rPr>
          <w:rFonts w:asciiTheme="minorHAnsi" w:eastAsiaTheme="minorEastAsia" w:hAnsiTheme="minorHAnsi" w:cstheme="minorBidi"/>
          <w:noProof/>
          <w:sz w:val="24"/>
          <w:szCs w:val="24"/>
          <w:lang w:val="en-GB" w:eastAsia="ja-JP"/>
        </w:rPr>
        <w:tab/>
      </w:r>
      <w:r w:rsidRPr="00601179">
        <w:rPr>
          <w:rFonts w:ascii="Calibri" w:hAnsi="Calibri"/>
          <w:noProof/>
        </w:rPr>
        <w:t>TISA Discretionary Investment Management Template</w:t>
      </w:r>
      <w:r>
        <w:rPr>
          <w:noProof/>
        </w:rPr>
        <w:tab/>
      </w:r>
      <w:r>
        <w:rPr>
          <w:noProof/>
        </w:rPr>
        <w:fldChar w:fldCharType="begin"/>
      </w:r>
      <w:r>
        <w:rPr>
          <w:noProof/>
        </w:rPr>
        <w:instrText xml:space="preserve"> PAGEREF _Toc409468240 \h </w:instrText>
      </w:r>
      <w:r>
        <w:rPr>
          <w:noProof/>
        </w:rPr>
      </w:r>
      <w:r>
        <w:rPr>
          <w:noProof/>
        </w:rPr>
        <w:fldChar w:fldCharType="separate"/>
      </w:r>
      <w:r w:rsidR="001F5422">
        <w:rPr>
          <w:noProof/>
        </w:rPr>
        <w:t>44</w:t>
      </w:r>
      <w:r>
        <w:rPr>
          <w:noProof/>
        </w:rPr>
        <w:fldChar w:fldCharType="end"/>
      </w:r>
    </w:p>
    <w:p w14:paraId="36274041"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6.5.2</w:t>
      </w:r>
      <w:r>
        <w:rPr>
          <w:rFonts w:asciiTheme="minorHAnsi" w:eastAsiaTheme="minorEastAsia" w:hAnsiTheme="minorHAnsi" w:cstheme="minorBidi"/>
          <w:noProof/>
          <w:sz w:val="24"/>
          <w:szCs w:val="24"/>
          <w:lang w:val="en-GB" w:eastAsia="ja-JP"/>
        </w:rPr>
        <w:tab/>
      </w:r>
      <w:r w:rsidRPr="00601179">
        <w:rPr>
          <w:rFonts w:ascii="Calibri" w:hAnsi="Calibri"/>
          <w:noProof/>
        </w:rPr>
        <w:t>Article 60 Reporting obligations in respect of portfolio management</w:t>
      </w:r>
      <w:r>
        <w:rPr>
          <w:noProof/>
        </w:rPr>
        <w:tab/>
      </w:r>
      <w:r>
        <w:rPr>
          <w:noProof/>
        </w:rPr>
        <w:fldChar w:fldCharType="begin"/>
      </w:r>
      <w:r>
        <w:rPr>
          <w:noProof/>
        </w:rPr>
        <w:instrText xml:space="preserve"> PAGEREF _Toc409468241 \h </w:instrText>
      </w:r>
      <w:r>
        <w:rPr>
          <w:noProof/>
        </w:rPr>
      </w:r>
      <w:r>
        <w:rPr>
          <w:noProof/>
        </w:rPr>
        <w:fldChar w:fldCharType="separate"/>
      </w:r>
      <w:r w:rsidR="001F5422">
        <w:rPr>
          <w:noProof/>
        </w:rPr>
        <w:t>45</w:t>
      </w:r>
      <w:r>
        <w:rPr>
          <w:noProof/>
        </w:rPr>
        <w:fldChar w:fldCharType="end"/>
      </w:r>
    </w:p>
    <w:p w14:paraId="1AD8BB6F"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6.5.3</w:t>
      </w:r>
      <w:r>
        <w:rPr>
          <w:rFonts w:asciiTheme="minorHAnsi" w:eastAsiaTheme="minorEastAsia" w:hAnsiTheme="minorHAnsi" w:cstheme="minorBidi"/>
          <w:noProof/>
          <w:sz w:val="24"/>
          <w:szCs w:val="24"/>
          <w:lang w:val="en-GB" w:eastAsia="ja-JP"/>
        </w:rPr>
        <w:tab/>
      </w:r>
      <w:r w:rsidRPr="00601179">
        <w:rPr>
          <w:rFonts w:ascii="Calibri" w:hAnsi="Calibri"/>
          <w:noProof/>
        </w:rPr>
        <w:t>FCA institutional disclosure reporting</w:t>
      </w:r>
      <w:r>
        <w:rPr>
          <w:noProof/>
        </w:rPr>
        <w:tab/>
      </w:r>
      <w:r>
        <w:rPr>
          <w:noProof/>
        </w:rPr>
        <w:fldChar w:fldCharType="begin"/>
      </w:r>
      <w:r>
        <w:rPr>
          <w:noProof/>
        </w:rPr>
        <w:instrText xml:space="preserve"> PAGEREF _Toc409468242 \h </w:instrText>
      </w:r>
      <w:r>
        <w:rPr>
          <w:noProof/>
        </w:rPr>
      </w:r>
      <w:r>
        <w:rPr>
          <w:noProof/>
        </w:rPr>
        <w:fldChar w:fldCharType="separate"/>
      </w:r>
      <w:r w:rsidR="001F5422">
        <w:rPr>
          <w:noProof/>
        </w:rPr>
        <w:t>45</w:t>
      </w:r>
      <w:r>
        <w:rPr>
          <w:noProof/>
        </w:rPr>
        <w:fldChar w:fldCharType="end"/>
      </w:r>
    </w:p>
    <w:p w14:paraId="079B3F2F" w14:textId="77777777" w:rsidR="00D11C47" w:rsidRDefault="00D11C47">
      <w:pPr>
        <w:pStyle w:val="TOC1"/>
        <w:tabs>
          <w:tab w:val="left" w:pos="370"/>
        </w:tabs>
        <w:rPr>
          <w:rFonts w:eastAsiaTheme="minorEastAsia" w:cstheme="minorBidi"/>
          <w:b w:val="0"/>
          <w:noProof/>
          <w:sz w:val="24"/>
          <w:szCs w:val="24"/>
          <w:lang w:val="en-GB" w:eastAsia="ja-JP"/>
        </w:rPr>
      </w:pPr>
      <w:r w:rsidRPr="00601179">
        <w:rPr>
          <w:bCs/>
          <w:noProof/>
        </w:rPr>
        <w:t>7</w:t>
      </w:r>
      <w:r>
        <w:rPr>
          <w:rFonts w:eastAsiaTheme="minorEastAsia" w:cstheme="minorBidi"/>
          <w:b w:val="0"/>
          <w:noProof/>
          <w:sz w:val="24"/>
          <w:szCs w:val="24"/>
          <w:lang w:val="en-GB" w:eastAsia="ja-JP"/>
        </w:rPr>
        <w:tab/>
      </w:r>
      <w:r w:rsidRPr="00601179">
        <w:rPr>
          <w:bCs/>
          <w:noProof/>
        </w:rPr>
        <w:t>Guide to categorising cost and charges</w:t>
      </w:r>
      <w:r>
        <w:rPr>
          <w:noProof/>
        </w:rPr>
        <w:tab/>
      </w:r>
      <w:r>
        <w:rPr>
          <w:noProof/>
        </w:rPr>
        <w:fldChar w:fldCharType="begin"/>
      </w:r>
      <w:r>
        <w:rPr>
          <w:noProof/>
        </w:rPr>
        <w:instrText xml:space="preserve"> PAGEREF _Toc409468243 \h </w:instrText>
      </w:r>
      <w:r>
        <w:rPr>
          <w:noProof/>
        </w:rPr>
      </w:r>
      <w:r>
        <w:rPr>
          <w:noProof/>
        </w:rPr>
        <w:fldChar w:fldCharType="separate"/>
      </w:r>
      <w:r w:rsidR="001F5422">
        <w:rPr>
          <w:noProof/>
        </w:rPr>
        <w:t>47</w:t>
      </w:r>
      <w:r>
        <w:rPr>
          <w:noProof/>
        </w:rPr>
        <w:fldChar w:fldCharType="end"/>
      </w:r>
    </w:p>
    <w:p w14:paraId="69D3A7D7"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7.1.1</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What information can be sourced from the administrators?</w:t>
      </w:r>
      <w:r>
        <w:rPr>
          <w:noProof/>
        </w:rPr>
        <w:tab/>
      </w:r>
      <w:r>
        <w:rPr>
          <w:noProof/>
        </w:rPr>
        <w:fldChar w:fldCharType="begin"/>
      </w:r>
      <w:r>
        <w:rPr>
          <w:noProof/>
        </w:rPr>
        <w:instrText xml:space="preserve"> PAGEREF _Toc409468244 \h </w:instrText>
      </w:r>
      <w:r>
        <w:rPr>
          <w:noProof/>
        </w:rPr>
      </w:r>
      <w:r>
        <w:rPr>
          <w:noProof/>
        </w:rPr>
        <w:fldChar w:fldCharType="separate"/>
      </w:r>
      <w:r w:rsidR="001F5422">
        <w:rPr>
          <w:noProof/>
        </w:rPr>
        <w:t>47</w:t>
      </w:r>
      <w:r>
        <w:rPr>
          <w:noProof/>
        </w:rPr>
        <w:fldChar w:fldCharType="end"/>
      </w:r>
    </w:p>
    <w:p w14:paraId="77DAE507"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7.1.2</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One-off charges</w:t>
      </w:r>
      <w:r>
        <w:rPr>
          <w:noProof/>
        </w:rPr>
        <w:tab/>
      </w:r>
      <w:r>
        <w:rPr>
          <w:noProof/>
        </w:rPr>
        <w:fldChar w:fldCharType="begin"/>
      </w:r>
      <w:r>
        <w:rPr>
          <w:noProof/>
        </w:rPr>
        <w:instrText xml:space="preserve"> PAGEREF _Toc409468245 \h </w:instrText>
      </w:r>
      <w:r>
        <w:rPr>
          <w:noProof/>
        </w:rPr>
      </w:r>
      <w:r>
        <w:rPr>
          <w:noProof/>
        </w:rPr>
        <w:fldChar w:fldCharType="separate"/>
      </w:r>
      <w:r w:rsidR="001F5422">
        <w:rPr>
          <w:noProof/>
        </w:rPr>
        <w:t>47</w:t>
      </w:r>
      <w:r>
        <w:rPr>
          <w:noProof/>
        </w:rPr>
        <w:fldChar w:fldCharType="end"/>
      </w:r>
    </w:p>
    <w:p w14:paraId="23913C66"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7.1.3</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What charges are contained in the ongoing charges?</w:t>
      </w:r>
      <w:r>
        <w:rPr>
          <w:noProof/>
        </w:rPr>
        <w:tab/>
      </w:r>
      <w:r>
        <w:rPr>
          <w:noProof/>
        </w:rPr>
        <w:fldChar w:fldCharType="begin"/>
      </w:r>
      <w:r>
        <w:rPr>
          <w:noProof/>
        </w:rPr>
        <w:instrText xml:space="preserve"> PAGEREF _Toc409468246 \h </w:instrText>
      </w:r>
      <w:r>
        <w:rPr>
          <w:noProof/>
        </w:rPr>
      </w:r>
      <w:r>
        <w:rPr>
          <w:noProof/>
        </w:rPr>
        <w:fldChar w:fldCharType="separate"/>
      </w:r>
      <w:r w:rsidR="001F5422">
        <w:rPr>
          <w:noProof/>
        </w:rPr>
        <w:t>47</w:t>
      </w:r>
      <w:r>
        <w:rPr>
          <w:noProof/>
        </w:rPr>
        <w:fldChar w:fldCharType="end"/>
      </w:r>
    </w:p>
    <w:p w14:paraId="15C6DC77"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7.1.4</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Incidental Costs</w:t>
      </w:r>
      <w:r>
        <w:rPr>
          <w:noProof/>
        </w:rPr>
        <w:tab/>
      </w:r>
      <w:r>
        <w:rPr>
          <w:noProof/>
        </w:rPr>
        <w:fldChar w:fldCharType="begin"/>
      </w:r>
      <w:r>
        <w:rPr>
          <w:noProof/>
        </w:rPr>
        <w:instrText xml:space="preserve"> PAGEREF _Toc409468247 \h </w:instrText>
      </w:r>
      <w:r>
        <w:rPr>
          <w:noProof/>
        </w:rPr>
      </w:r>
      <w:r>
        <w:rPr>
          <w:noProof/>
        </w:rPr>
        <w:fldChar w:fldCharType="separate"/>
      </w:r>
      <w:r w:rsidR="001F5422">
        <w:rPr>
          <w:noProof/>
        </w:rPr>
        <w:t>48</w:t>
      </w:r>
      <w:r>
        <w:rPr>
          <w:noProof/>
        </w:rPr>
        <w:fldChar w:fldCharType="end"/>
      </w:r>
    </w:p>
    <w:p w14:paraId="090478AE"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7.1.5</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Transaction Costs</w:t>
      </w:r>
      <w:r>
        <w:rPr>
          <w:noProof/>
        </w:rPr>
        <w:tab/>
      </w:r>
      <w:r>
        <w:rPr>
          <w:noProof/>
        </w:rPr>
        <w:fldChar w:fldCharType="begin"/>
      </w:r>
      <w:r>
        <w:rPr>
          <w:noProof/>
        </w:rPr>
        <w:instrText xml:space="preserve"> PAGEREF _Toc409468248 \h </w:instrText>
      </w:r>
      <w:r>
        <w:rPr>
          <w:noProof/>
        </w:rPr>
      </w:r>
      <w:r>
        <w:rPr>
          <w:noProof/>
        </w:rPr>
        <w:fldChar w:fldCharType="separate"/>
      </w:r>
      <w:r w:rsidR="001F5422">
        <w:rPr>
          <w:noProof/>
        </w:rPr>
        <w:t>48</w:t>
      </w:r>
      <w:r>
        <w:rPr>
          <w:noProof/>
        </w:rPr>
        <w:fldChar w:fldCharType="end"/>
      </w:r>
    </w:p>
    <w:p w14:paraId="0B966E93"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7.1.6</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Service Costs</w:t>
      </w:r>
      <w:r>
        <w:rPr>
          <w:noProof/>
        </w:rPr>
        <w:tab/>
      </w:r>
      <w:r>
        <w:rPr>
          <w:noProof/>
        </w:rPr>
        <w:fldChar w:fldCharType="begin"/>
      </w:r>
      <w:r>
        <w:rPr>
          <w:noProof/>
        </w:rPr>
        <w:instrText xml:space="preserve"> PAGEREF _Toc409468249 \h </w:instrText>
      </w:r>
      <w:r>
        <w:rPr>
          <w:noProof/>
        </w:rPr>
      </w:r>
      <w:r>
        <w:rPr>
          <w:noProof/>
        </w:rPr>
        <w:fldChar w:fldCharType="separate"/>
      </w:r>
      <w:r w:rsidR="001F5422">
        <w:rPr>
          <w:noProof/>
        </w:rPr>
        <w:t>50</w:t>
      </w:r>
      <w:r>
        <w:rPr>
          <w:noProof/>
        </w:rPr>
        <w:fldChar w:fldCharType="end"/>
      </w:r>
    </w:p>
    <w:p w14:paraId="251CBC32" w14:textId="77777777" w:rsidR="00D11C47" w:rsidRDefault="00D11C47">
      <w:pPr>
        <w:pStyle w:val="TOC3"/>
        <w:tabs>
          <w:tab w:val="left" w:pos="1136"/>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7.1.7</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Example Breakdown of detailed costs and charges for a “fund”</w:t>
      </w:r>
      <w:r>
        <w:rPr>
          <w:noProof/>
        </w:rPr>
        <w:tab/>
      </w:r>
      <w:r>
        <w:rPr>
          <w:noProof/>
        </w:rPr>
        <w:fldChar w:fldCharType="begin"/>
      </w:r>
      <w:r>
        <w:rPr>
          <w:noProof/>
        </w:rPr>
        <w:instrText xml:space="preserve"> PAGEREF _Toc409468250 \h </w:instrText>
      </w:r>
      <w:r>
        <w:rPr>
          <w:noProof/>
        </w:rPr>
      </w:r>
      <w:r>
        <w:rPr>
          <w:noProof/>
        </w:rPr>
        <w:fldChar w:fldCharType="separate"/>
      </w:r>
      <w:r w:rsidR="001F5422">
        <w:rPr>
          <w:noProof/>
        </w:rPr>
        <w:t>51</w:t>
      </w:r>
      <w:r>
        <w:rPr>
          <w:noProof/>
        </w:rPr>
        <w:fldChar w:fldCharType="end"/>
      </w:r>
    </w:p>
    <w:p w14:paraId="5A6C85E1" w14:textId="77777777" w:rsidR="00D11C47" w:rsidRDefault="00D11C47">
      <w:pPr>
        <w:pStyle w:val="TOC1"/>
        <w:tabs>
          <w:tab w:val="left" w:pos="370"/>
        </w:tabs>
        <w:rPr>
          <w:rFonts w:eastAsiaTheme="minorEastAsia" w:cstheme="minorBidi"/>
          <w:b w:val="0"/>
          <w:noProof/>
          <w:sz w:val="24"/>
          <w:szCs w:val="24"/>
          <w:lang w:val="en-GB" w:eastAsia="ja-JP"/>
        </w:rPr>
      </w:pPr>
      <w:r w:rsidRPr="00601179">
        <w:rPr>
          <w:bCs/>
          <w:noProof/>
        </w:rPr>
        <w:t>8</w:t>
      </w:r>
      <w:r>
        <w:rPr>
          <w:rFonts w:eastAsiaTheme="minorEastAsia" w:cstheme="minorBidi"/>
          <w:b w:val="0"/>
          <w:noProof/>
          <w:sz w:val="24"/>
          <w:szCs w:val="24"/>
          <w:lang w:val="en-GB" w:eastAsia="ja-JP"/>
        </w:rPr>
        <w:tab/>
      </w:r>
      <w:r w:rsidRPr="00601179">
        <w:rPr>
          <w:bCs/>
          <w:noProof/>
        </w:rPr>
        <w:t>Calculation of end investor costs for Ex-Ante and Ex-Post disclosure</w:t>
      </w:r>
      <w:r>
        <w:rPr>
          <w:noProof/>
        </w:rPr>
        <w:tab/>
      </w:r>
      <w:r>
        <w:rPr>
          <w:noProof/>
        </w:rPr>
        <w:fldChar w:fldCharType="begin"/>
      </w:r>
      <w:r>
        <w:rPr>
          <w:noProof/>
        </w:rPr>
        <w:instrText xml:space="preserve"> PAGEREF _Toc409468251 \h </w:instrText>
      </w:r>
      <w:r>
        <w:rPr>
          <w:noProof/>
        </w:rPr>
      </w:r>
      <w:r>
        <w:rPr>
          <w:noProof/>
        </w:rPr>
        <w:fldChar w:fldCharType="separate"/>
      </w:r>
      <w:r w:rsidR="001F5422">
        <w:rPr>
          <w:noProof/>
        </w:rPr>
        <w:t>53</w:t>
      </w:r>
      <w:r>
        <w:rPr>
          <w:noProof/>
        </w:rPr>
        <w:fldChar w:fldCharType="end"/>
      </w:r>
    </w:p>
    <w:p w14:paraId="10590007" w14:textId="77777777" w:rsidR="00D11C47" w:rsidRDefault="00D11C47">
      <w:pPr>
        <w:pStyle w:val="TOC1"/>
        <w:tabs>
          <w:tab w:val="left" w:pos="370"/>
        </w:tabs>
        <w:rPr>
          <w:rFonts w:eastAsiaTheme="minorEastAsia" w:cstheme="minorBidi"/>
          <w:b w:val="0"/>
          <w:noProof/>
          <w:sz w:val="24"/>
          <w:szCs w:val="24"/>
          <w:lang w:val="en-GB" w:eastAsia="ja-JP"/>
        </w:rPr>
      </w:pPr>
      <w:r w:rsidRPr="00601179">
        <w:rPr>
          <w:noProof/>
        </w:rPr>
        <w:t>9</w:t>
      </w:r>
      <w:r>
        <w:rPr>
          <w:rFonts w:eastAsiaTheme="minorEastAsia" w:cstheme="minorBidi"/>
          <w:b w:val="0"/>
          <w:noProof/>
          <w:sz w:val="24"/>
          <w:szCs w:val="24"/>
          <w:lang w:val="en-GB" w:eastAsia="ja-JP"/>
        </w:rPr>
        <w:tab/>
      </w:r>
      <w:r w:rsidRPr="00601179">
        <w:rPr>
          <w:bCs/>
          <w:noProof/>
        </w:rPr>
        <w:t>Cumulative Effect of Costs on Return for Ex-Post Reporting</w:t>
      </w:r>
      <w:r>
        <w:rPr>
          <w:noProof/>
        </w:rPr>
        <w:tab/>
      </w:r>
      <w:r>
        <w:rPr>
          <w:noProof/>
        </w:rPr>
        <w:fldChar w:fldCharType="begin"/>
      </w:r>
      <w:r>
        <w:rPr>
          <w:noProof/>
        </w:rPr>
        <w:instrText xml:space="preserve"> PAGEREF _Toc409468252 \h </w:instrText>
      </w:r>
      <w:r>
        <w:rPr>
          <w:noProof/>
        </w:rPr>
      </w:r>
      <w:r>
        <w:rPr>
          <w:noProof/>
        </w:rPr>
        <w:fldChar w:fldCharType="separate"/>
      </w:r>
      <w:r w:rsidR="001F5422">
        <w:rPr>
          <w:noProof/>
        </w:rPr>
        <w:t>54</w:t>
      </w:r>
      <w:r>
        <w:rPr>
          <w:noProof/>
        </w:rPr>
        <w:fldChar w:fldCharType="end"/>
      </w:r>
    </w:p>
    <w:p w14:paraId="4162C69D" w14:textId="77777777" w:rsidR="00D11C47" w:rsidRDefault="00D11C47">
      <w:pPr>
        <w:pStyle w:val="TOC1"/>
        <w:tabs>
          <w:tab w:val="left" w:pos="501"/>
        </w:tabs>
        <w:rPr>
          <w:rFonts w:eastAsiaTheme="minorEastAsia" w:cstheme="minorBidi"/>
          <w:b w:val="0"/>
          <w:noProof/>
          <w:sz w:val="24"/>
          <w:szCs w:val="24"/>
          <w:lang w:val="en-GB" w:eastAsia="ja-JP"/>
        </w:rPr>
      </w:pPr>
      <w:r w:rsidRPr="00601179">
        <w:rPr>
          <w:bCs/>
          <w:noProof/>
        </w:rPr>
        <w:t>10</w:t>
      </w:r>
      <w:r>
        <w:rPr>
          <w:rFonts w:eastAsiaTheme="minorEastAsia" w:cstheme="minorBidi"/>
          <w:b w:val="0"/>
          <w:noProof/>
          <w:sz w:val="24"/>
          <w:szCs w:val="24"/>
          <w:lang w:val="en-GB" w:eastAsia="ja-JP"/>
        </w:rPr>
        <w:tab/>
      </w:r>
      <w:r w:rsidRPr="00601179">
        <w:rPr>
          <w:bCs/>
          <w:noProof/>
        </w:rPr>
        <w:t>European MIFID Template (EMT)</w:t>
      </w:r>
      <w:r>
        <w:rPr>
          <w:noProof/>
        </w:rPr>
        <w:tab/>
      </w:r>
      <w:r>
        <w:rPr>
          <w:noProof/>
        </w:rPr>
        <w:fldChar w:fldCharType="begin"/>
      </w:r>
      <w:r>
        <w:rPr>
          <w:noProof/>
        </w:rPr>
        <w:instrText xml:space="preserve"> PAGEREF _Toc409468253 \h </w:instrText>
      </w:r>
      <w:r>
        <w:rPr>
          <w:noProof/>
        </w:rPr>
      </w:r>
      <w:r>
        <w:rPr>
          <w:noProof/>
        </w:rPr>
        <w:fldChar w:fldCharType="separate"/>
      </w:r>
      <w:r w:rsidR="001F5422">
        <w:rPr>
          <w:noProof/>
        </w:rPr>
        <w:t>56</w:t>
      </w:r>
      <w:r>
        <w:rPr>
          <w:noProof/>
        </w:rPr>
        <w:fldChar w:fldCharType="end"/>
      </w:r>
    </w:p>
    <w:p w14:paraId="056A461D" w14:textId="77777777" w:rsidR="00D11C47" w:rsidRDefault="00D11C47">
      <w:pPr>
        <w:pStyle w:val="TOC2"/>
        <w:tabs>
          <w:tab w:val="left" w:pos="888"/>
          <w:tab w:val="right" w:leader="dot" w:pos="9016"/>
        </w:tabs>
        <w:rPr>
          <w:rFonts w:asciiTheme="minorHAnsi" w:eastAsiaTheme="minorEastAsia" w:hAnsiTheme="minorHAnsi" w:cstheme="minorBidi"/>
          <w:noProof/>
          <w:sz w:val="24"/>
          <w:szCs w:val="24"/>
          <w:lang w:val="en-GB" w:eastAsia="ja-JP"/>
        </w:rPr>
      </w:pPr>
      <w:r>
        <w:rPr>
          <w:noProof/>
        </w:rPr>
        <w:t>10.1</w:t>
      </w:r>
      <w:r>
        <w:rPr>
          <w:rFonts w:asciiTheme="minorHAnsi" w:eastAsiaTheme="minorEastAsia" w:hAnsiTheme="minorHAnsi" w:cstheme="minorBidi"/>
          <w:noProof/>
          <w:sz w:val="24"/>
          <w:szCs w:val="24"/>
          <w:lang w:val="en-GB" w:eastAsia="ja-JP"/>
        </w:rPr>
        <w:tab/>
      </w:r>
      <w:r>
        <w:rPr>
          <w:noProof/>
        </w:rPr>
        <w:t>About the EMT</w:t>
      </w:r>
      <w:r>
        <w:rPr>
          <w:noProof/>
        </w:rPr>
        <w:tab/>
      </w:r>
      <w:r>
        <w:rPr>
          <w:noProof/>
        </w:rPr>
        <w:fldChar w:fldCharType="begin"/>
      </w:r>
      <w:r>
        <w:rPr>
          <w:noProof/>
        </w:rPr>
        <w:instrText xml:space="preserve"> PAGEREF _Toc409468254 \h </w:instrText>
      </w:r>
      <w:r>
        <w:rPr>
          <w:noProof/>
        </w:rPr>
      </w:r>
      <w:r>
        <w:rPr>
          <w:noProof/>
        </w:rPr>
        <w:fldChar w:fldCharType="separate"/>
      </w:r>
      <w:r w:rsidR="001F5422">
        <w:rPr>
          <w:noProof/>
        </w:rPr>
        <w:t>56</w:t>
      </w:r>
      <w:r>
        <w:rPr>
          <w:noProof/>
        </w:rPr>
        <w:fldChar w:fldCharType="end"/>
      </w:r>
    </w:p>
    <w:p w14:paraId="5910682D" w14:textId="77777777" w:rsidR="00D11C47" w:rsidRDefault="00D11C47">
      <w:pPr>
        <w:pStyle w:val="TOC2"/>
        <w:tabs>
          <w:tab w:val="left" w:pos="888"/>
          <w:tab w:val="right" w:leader="dot" w:pos="9016"/>
        </w:tabs>
        <w:rPr>
          <w:rFonts w:asciiTheme="minorHAnsi" w:eastAsiaTheme="minorEastAsia" w:hAnsiTheme="minorHAnsi" w:cstheme="minorBidi"/>
          <w:noProof/>
          <w:sz w:val="24"/>
          <w:szCs w:val="24"/>
          <w:lang w:val="en-GB" w:eastAsia="ja-JP"/>
        </w:rPr>
      </w:pPr>
      <w:r>
        <w:rPr>
          <w:noProof/>
        </w:rPr>
        <w:t>10.2</w:t>
      </w:r>
      <w:r>
        <w:rPr>
          <w:rFonts w:asciiTheme="minorHAnsi" w:eastAsiaTheme="minorEastAsia" w:hAnsiTheme="minorHAnsi" w:cstheme="minorBidi"/>
          <w:noProof/>
          <w:sz w:val="24"/>
          <w:szCs w:val="24"/>
          <w:lang w:val="en-GB" w:eastAsia="ja-JP"/>
        </w:rPr>
        <w:tab/>
      </w:r>
      <w:r>
        <w:rPr>
          <w:noProof/>
        </w:rPr>
        <w:t>Completing the Ex post section of EMT</w:t>
      </w:r>
      <w:r>
        <w:rPr>
          <w:noProof/>
        </w:rPr>
        <w:tab/>
      </w:r>
      <w:r>
        <w:rPr>
          <w:noProof/>
        </w:rPr>
        <w:fldChar w:fldCharType="begin"/>
      </w:r>
      <w:r>
        <w:rPr>
          <w:noProof/>
        </w:rPr>
        <w:instrText xml:space="preserve"> PAGEREF _Toc409468255 \h </w:instrText>
      </w:r>
      <w:r>
        <w:rPr>
          <w:noProof/>
        </w:rPr>
      </w:r>
      <w:r>
        <w:rPr>
          <w:noProof/>
        </w:rPr>
        <w:fldChar w:fldCharType="separate"/>
      </w:r>
      <w:r w:rsidR="001F5422">
        <w:rPr>
          <w:noProof/>
        </w:rPr>
        <w:t>57</w:t>
      </w:r>
      <w:r>
        <w:rPr>
          <w:noProof/>
        </w:rPr>
        <w:fldChar w:fldCharType="end"/>
      </w:r>
    </w:p>
    <w:p w14:paraId="6579758A" w14:textId="77777777" w:rsidR="00D11C47" w:rsidRDefault="00D11C47">
      <w:pPr>
        <w:pStyle w:val="TOC3"/>
        <w:tabs>
          <w:tab w:val="left" w:pos="1258"/>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10.2.1</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Introduction</w:t>
      </w:r>
      <w:r>
        <w:rPr>
          <w:noProof/>
        </w:rPr>
        <w:tab/>
      </w:r>
      <w:r>
        <w:rPr>
          <w:noProof/>
        </w:rPr>
        <w:fldChar w:fldCharType="begin"/>
      </w:r>
      <w:r>
        <w:rPr>
          <w:noProof/>
        </w:rPr>
        <w:instrText xml:space="preserve"> PAGEREF _Toc409468256 \h </w:instrText>
      </w:r>
      <w:r>
        <w:rPr>
          <w:noProof/>
        </w:rPr>
      </w:r>
      <w:r>
        <w:rPr>
          <w:noProof/>
        </w:rPr>
        <w:fldChar w:fldCharType="separate"/>
      </w:r>
      <w:r w:rsidR="001F5422">
        <w:rPr>
          <w:noProof/>
        </w:rPr>
        <w:t>57</w:t>
      </w:r>
      <w:r>
        <w:rPr>
          <w:noProof/>
        </w:rPr>
        <w:fldChar w:fldCharType="end"/>
      </w:r>
    </w:p>
    <w:p w14:paraId="7F9F1E3F" w14:textId="77777777" w:rsidR="00D11C47" w:rsidRDefault="00D11C47">
      <w:pPr>
        <w:pStyle w:val="TOC2"/>
        <w:tabs>
          <w:tab w:val="left" w:pos="888"/>
          <w:tab w:val="right" w:leader="dot" w:pos="9016"/>
        </w:tabs>
        <w:rPr>
          <w:rFonts w:asciiTheme="minorHAnsi" w:eastAsiaTheme="minorEastAsia" w:hAnsiTheme="minorHAnsi" w:cstheme="minorBidi"/>
          <w:noProof/>
          <w:sz w:val="24"/>
          <w:szCs w:val="24"/>
          <w:lang w:val="en-GB" w:eastAsia="ja-JP"/>
        </w:rPr>
      </w:pPr>
      <w:r>
        <w:rPr>
          <w:noProof/>
        </w:rPr>
        <w:t>10.3</w:t>
      </w:r>
      <w:r>
        <w:rPr>
          <w:rFonts w:asciiTheme="minorHAnsi" w:eastAsiaTheme="minorEastAsia" w:hAnsiTheme="minorHAnsi" w:cstheme="minorBidi"/>
          <w:noProof/>
          <w:sz w:val="24"/>
          <w:szCs w:val="24"/>
          <w:lang w:val="en-GB" w:eastAsia="ja-JP"/>
        </w:rPr>
        <w:tab/>
      </w:r>
      <w:r>
        <w:rPr>
          <w:noProof/>
        </w:rPr>
        <w:t>The EMT V1.0 spreadsheet is provided below, with the Q&amp;A provided by the EWG.</w:t>
      </w:r>
      <w:r>
        <w:rPr>
          <w:noProof/>
        </w:rPr>
        <w:tab/>
      </w:r>
      <w:r>
        <w:rPr>
          <w:noProof/>
        </w:rPr>
        <w:fldChar w:fldCharType="begin"/>
      </w:r>
      <w:r>
        <w:rPr>
          <w:noProof/>
        </w:rPr>
        <w:instrText xml:space="preserve"> PAGEREF _Toc409468257 \h </w:instrText>
      </w:r>
      <w:r>
        <w:rPr>
          <w:noProof/>
        </w:rPr>
      </w:r>
      <w:r>
        <w:rPr>
          <w:noProof/>
        </w:rPr>
        <w:fldChar w:fldCharType="separate"/>
      </w:r>
      <w:r w:rsidR="001F5422">
        <w:rPr>
          <w:noProof/>
        </w:rPr>
        <w:t>63</w:t>
      </w:r>
      <w:r>
        <w:rPr>
          <w:noProof/>
        </w:rPr>
        <w:fldChar w:fldCharType="end"/>
      </w:r>
    </w:p>
    <w:p w14:paraId="16586567" w14:textId="77777777" w:rsidR="00D11C47" w:rsidRDefault="00D11C47">
      <w:pPr>
        <w:pStyle w:val="TOC1"/>
        <w:tabs>
          <w:tab w:val="clear" w:pos="440"/>
          <w:tab w:val="left" w:pos="463"/>
        </w:tabs>
        <w:rPr>
          <w:rFonts w:eastAsiaTheme="minorEastAsia" w:cstheme="minorBidi"/>
          <w:b w:val="0"/>
          <w:noProof/>
          <w:sz w:val="24"/>
          <w:szCs w:val="24"/>
          <w:lang w:val="en-GB" w:eastAsia="ja-JP"/>
        </w:rPr>
      </w:pPr>
      <w:r w:rsidRPr="00601179">
        <w:rPr>
          <w:rFonts w:ascii="Calibri" w:hAnsi="Calibri"/>
          <w:bCs/>
          <w:noProof/>
          <w:lang w:val="en-GB"/>
        </w:rPr>
        <w:t>11</w:t>
      </w:r>
      <w:r>
        <w:rPr>
          <w:rFonts w:eastAsiaTheme="minorEastAsia" w:cstheme="minorBidi"/>
          <w:b w:val="0"/>
          <w:noProof/>
          <w:sz w:val="24"/>
          <w:szCs w:val="24"/>
          <w:lang w:val="en-GB" w:eastAsia="ja-JP"/>
        </w:rPr>
        <w:tab/>
      </w:r>
      <w:r w:rsidRPr="00601179">
        <w:rPr>
          <w:rFonts w:ascii="Calibri" w:hAnsi="Calibri"/>
          <w:bCs/>
          <w:noProof/>
          <w:lang w:val="en-GB"/>
        </w:rPr>
        <w:t>Definitions</w:t>
      </w:r>
      <w:r>
        <w:rPr>
          <w:noProof/>
        </w:rPr>
        <w:tab/>
      </w:r>
      <w:r>
        <w:rPr>
          <w:noProof/>
        </w:rPr>
        <w:fldChar w:fldCharType="begin"/>
      </w:r>
      <w:r>
        <w:rPr>
          <w:noProof/>
        </w:rPr>
        <w:instrText xml:space="preserve"> PAGEREF _Toc409468258 \h </w:instrText>
      </w:r>
      <w:r>
        <w:rPr>
          <w:noProof/>
        </w:rPr>
      </w:r>
      <w:r>
        <w:rPr>
          <w:noProof/>
        </w:rPr>
        <w:fldChar w:fldCharType="separate"/>
      </w:r>
      <w:r w:rsidR="001F5422">
        <w:rPr>
          <w:noProof/>
        </w:rPr>
        <w:t>64</w:t>
      </w:r>
      <w:r>
        <w:rPr>
          <w:noProof/>
        </w:rPr>
        <w:fldChar w:fldCharType="end"/>
      </w:r>
    </w:p>
    <w:p w14:paraId="5836E67A" w14:textId="77777777" w:rsidR="00D11C47" w:rsidRDefault="00D11C47">
      <w:pPr>
        <w:pStyle w:val="TOC1"/>
        <w:tabs>
          <w:tab w:val="left" w:pos="501"/>
        </w:tabs>
        <w:rPr>
          <w:rFonts w:eastAsiaTheme="minorEastAsia" w:cstheme="minorBidi"/>
          <w:b w:val="0"/>
          <w:noProof/>
          <w:sz w:val="24"/>
          <w:szCs w:val="24"/>
          <w:lang w:val="en-GB" w:eastAsia="ja-JP"/>
        </w:rPr>
      </w:pPr>
      <w:r w:rsidRPr="00601179">
        <w:rPr>
          <w:bCs/>
          <w:noProof/>
        </w:rPr>
        <w:t>12</w:t>
      </w:r>
      <w:r>
        <w:rPr>
          <w:rFonts w:eastAsiaTheme="minorEastAsia" w:cstheme="minorBidi"/>
          <w:b w:val="0"/>
          <w:noProof/>
          <w:sz w:val="24"/>
          <w:szCs w:val="24"/>
          <w:lang w:val="en-GB" w:eastAsia="ja-JP"/>
        </w:rPr>
        <w:tab/>
      </w:r>
      <w:r w:rsidRPr="00601179">
        <w:rPr>
          <w:bCs/>
          <w:noProof/>
        </w:rPr>
        <w:t>APPENDIX</w:t>
      </w:r>
      <w:r>
        <w:rPr>
          <w:noProof/>
        </w:rPr>
        <w:tab/>
      </w:r>
      <w:r>
        <w:rPr>
          <w:noProof/>
        </w:rPr>
        <w:fldChar w:fldCharType="begin"/>
      </w:r>
      <w:r>
        <w:rPr>
          <w:noProof/>
        </w:rPr>
        <w:instrText xml:space="preserve"> PAGEREF _Toc409468259 \h </w:instrText>
      </w:r>
      <w:r>
        <w:rPr>
          <w:noProof/>
        </w:rPr>
      </w:r>
      <w:r>
        <w:rPr>
          <w:noProof/>
        </w:rPr>
        <w:fldChar w:fldCharType="separate"/>
      </w:r>
      <w:r w:rsidR="001F5422">
        <w:rPr>
          <w:noProof/>
        </w:rPr>
        <w:t>66</w:t>
      </w:r>
      <w:r>
        <w:rPr>
          <w:noProof/>
        </w:rPr>
        <w:fldChar w:fldCharType="end"/>
      </w:r>
    </w:p>
    <w:p w14:paraId="4D34A9CA" w14:textId="77777777" w:rsidR="00D11C47" w:rsidRDefault="00D11C47">
      <w:pPr>
        <w:pStyle w:val="TOC3"/>
        <w:tabs>
          <w:tab w:val="left" w:pos="1258"/>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12.1.1</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MiFID II Directive 2014/65/EU</w:t>
      </w:r>
      <w:r>
        <w:rPr>
          <w:noProof/>
        </w:rPr>
        <w:tab/>
      </w:r>
      <w:r>
        <w:rPr>
          <w:noProof/>
        </w:rPr>
        <w:fldChar w:fldCharType="begin"/>
      </w:r>
      <w:r>
        <w:rPr>
          <w:noProof/>
        </w:rPr>
        <w:instrText xml:space="preserve"> PAGEREF _Toc409468260 \h </w:instrText>
      </w:r>
      <w:r>
        <w:rPr>
          <w:noProof/>
        </w:rPr>
      </w:r>
      <w:r>
        <w:rPr>
          <w:noProof/>
        </w:rPr>
        <w:fldChar w:fldCharType="separate"/>
      </w:r>
      <w:r w:rsidR="001F5422">
        <w:rPr>
          <w:noProof/>
        </w:rPr>
        <w:t>66</w:t>
      </w:r>
      <w:r>
        <w:rPr>
          <w:noProof/>
        </w:rPr>
        <w:fldChar w:fldCharType="end"/>
      </w:r>
    </w:p>
    <w:p w14:paraId="7862918E" w14:textId="77777777" w:rsidR="00D11C47" w:rsidRDefault="00D11C47">
      <w:pPr>
        <w:pStyle w:val="TOC3"/>
        <w:tabs>
          <w:tab w:val="left" w:pos="1258"/>
          <w:tab w:val="right" w:leader="dot" w:pos="9016"/>
        </w:tabs>
        <w:rPr>
          <w:rFonts w:asciiTheme="minorHAnsi" w:eastAsiaTheme="minorEastAsia" w:hAnsiTheme="minorHAnsi" w:cstheme="minorBidi"/>
          <w:noProof/>
          <w:sz w:val="24"/>
          <w:szCs w:val="24"/>
          <w:lang w:val="en-GB" w:eastAsia="ja-JP"/>
        </w:rPr>
      </w:pPr>
      <w:r w:rsidRPr="00601179">
        <w:rPr>
          <w:rFonts w:asciiTheme="minorHAnsi" w:hAnsiTheme="minorHAnsi"/>
          <w:noProof/>
        </w:rPr>
        <w:t>12.1.2</w:t>
      </w:r>
      <w:r>
        <w:rPr>
          <w:rFonts w:asciiTheme="minorHAnsi" w:eastAsiaTheme="minorEastAsia" w:hAnsiTheme="minorHAnsi" w:cstheme="minorBidi"/>
          <w:noProof/>
          <w:sz w:val="24"/>
          <w:szCs w:val="24"/>
          <w:lang w:val="en-GB" w:eastAsia="ja-JP"/>
        </w:rPr>
        <w:tab/>
      </w:r>
      <w:r w:rsidRPr="00601179">
        <w:rPr>
          <w:rFonts w:asciiTheme="minorHAnsi" w:hAnsiTheme="minorHAnsi"/>
          <w:noProof/>
        </w:rPr>
        <w:t>MIFID II Delegated Regulation - Article 50</w:t>
      </w:r>
      <w:r>
        <w:rPr>
          <w:noProof/>
        </w:rPr>
        <w:tab/>
      </w:r>
      <w:r>
        <w:rPr>
          <w:noProof/>
        </w:rPr>
        <w:fldChar w:fldCharType="begin"/>
      </w:r>
      <w:r>
        <w:rPr>
          <w:noProof/>
        </w:rPr>
        <w:instrText xml:space="preserve"> PAGEREF _Toc409468261 \h </w:instrText>
      </w:r>
      <w:r>
        <w:rPr>
          <w:noProof/>
        </w:rPr>
      </w:r>
      <w:r>
        <w:rPr>
          <w:noProof/>
        </w:rPr>
        <w:fldChar w:fldCharType="separate"/>
      </w:r>
      <w:r w:rsidR="001F5422">
        <w:rPr>
          <w:noProof/>
        </w:rPr>
        <w:t>67</w:t>
      </w:r>
      <w:r>
        <w:rPr>
          <w:noProof/>
        </w:rPr>
        <w:fldChar w:fldCharType="end"/>
      </w:r>
    </w:p>
    <w:p w14:paraId="168EC256" w14:textId="0CE9A789" w:rsidR="007843E2" w:rsidRPr="007843E2" w:rsidRDefault="00D11C47" w:rsidP="00BC6FB6">
      <w:pPr>
        <w:spacing w:after="160" w:line="259" w:lineRule="auto"/>
        <w:ind w:left="0"/>
        <w:rPr>
          <w:rFonts w:ascii="Calibri" w:eastAsiaTheme="majorEastAsia" w:hAnsi="Calibri" w:cstheme="majorBidi"/>
          <w:b/>
          <w:bCs/>
          <w:sz w:val="28"/>
          <w:szCs w:val="28"/>
        </w:rPr>
      </w:pPr>
      <w:r>
        <w:rPr>
          <w:rFonts w:ascii="Calibri" w:hAnsi="Calibri"/>
          <w:b/>
          <w:bCs/>
          <w:sz w:val="28"/>
          <w:szCs w:val="28"/>
        </w:rPr>
        <w:fldChar w:fldCharType="end"/>
      </w:r>
      <w:r w:rsidR="007843E2">
        <w:rPr>
          <w:rFonts w:ascii="Calibri" w:hAnsi="Calibri"/>
          <w:b/>
          <w:bCs/>
          <w:sz w:val="28"/>
          <w:szCs w:val="28"/>
        </w:rPr>
        <w:br w:type="page"/>
      </w:r>
    </w:p>
    <w:p w14:paraId="0A44BADA" w14:textId="47CA0015" w:rsidR="00CC523E" w:rsidRPr="00CC523E" w:rsidRDefault="00CC523E" w:rsidP="00CC523E">
      <w:pPr>
        <w:pStyle w:val="Heading1"/>
        <w:rPr>
          <w:rFonts w:ascii="Calibri" w:hAnsi="Calibri"/>
          <w:b/>
          <w:bCs/>
          <w:color w:val="auto"/>
          <w:sz w:val="28"/>
          <w:szCs w:val="28"/>
        </w:rPr>
      </w:pPr>
      <w:bookmarkStart w:id="9" w:name="_Toc369907828"/>
      <w:bookmarkStart w:id="10" w:name="_Toc370052346"/>
      <w:bookmarkStart w:id="11" w:name="_Toc372234494"/>
      <w:bookmarkStart w:id="12" w:name="_Toc395871022"/>
      <w:bookmarkStart w:id="13" w:name="_Toc409468188"/>
      <w:r w:rsidRPr="00CC523E">
        <w:rPr>
          <w:rFonts w:ascii="Calibri" w:hAnsi="Calibri"/>
          <w:b/>
          <w:bCs/>
          <w:color w:val="auto"/>
          <w:sz w:val="28"/>
          <w:szCs w:val="28"/>
        </w:rPr>
        <w:lastRenderedPageBreak/>
        <w:t>Introduction</w:t>
      </w:r>
      <w:bookmarkEnd w:id="0"/>
      <w:bookmarkEnd w:id="1"/>
      <w:bookmarkEnd w:id="2"/>
      <w:bookmarkEnd w:id="3"/>
      <w:bookmarkEnd w:id="4"/>
      <w:bookmarkEnd w:id="5"/>
      <w:bookmarkEnd w:id="6"/>
      <w:bookmarkEnd w:id="7"/>
      <w:bookmarkEnd w:id="9"/>
      <w:bookmarkEnd w:id="10"/>
      <w:bookmarkEnd w:id="11"/>
      <w:bookmarkEnd w:id="12"/>
      <w:bookmarkEnd w:id="13"/>
    </w:p>
    <w:p w14:paraId="09C0E2D0" w14:textId="77777777" w:rsidR="00CC523E" w:rsidRDefault="00CC523E" w:rsidP="00AA160C">
      <w:pPr>
        <w:pStyle w:val="NoSpacing"/>
        <w:jc w:val="both"/>
        <w:rPr>
          <w:rFonts w:asciiTheme="minorHAnsi" w:hAnsiTheme="minorHAnsi"/>
          <w:b/>
          <w:color w:val="auto"/>
          <w:sz w:val="24"/>
        </w:rPr>
      </w:pPr>
    </w:p>
    <w:bookmarkEnd w:id="8"/>
    <w:p w14:paraId="563F506A" w14:textId="4D543A3E" w:rsidR="004B5660" w:rsidRDefault="00AA160C" w:rsidP="005C3669">
      <w:pPr>
        <w:pStyle w:val="NoSpacing"/>
        <w:spacing w:line="276" w:lineRule="auto"/>
        <w:ind w:left="431"/>
        <w:jc w:val="both"/>
        <w:rPr>
          <w:rFonts w:asciiTheme="minorHAnsi" w:hAnsiTheme="minorHAnsi"/>
          <w:color w:val="auto"/>
          <w:sz w:val="22"/>
          <w:szCs w:val="22"/>
          <w:lang w:val="en-GB"/>
        </w:rPr>
      </w:pPr>
      <w:r w:rsidRPr="00AA160C">
        <w:rPr>
          <w:rFonts w:asciiTheme="minorHAnsi" w:hAnsiTheme="minorHAnsi"/>
          <w:color w:val="auto"/>
          <w:sz w:val="22"/>
          <w:szCs w:val="22"/>
          <w:lang w:val="en-GB"/>
        </w:rPr>
        <w:t xml:space="preserve">This </w:t>
      </w:r>
      <w:r w:rsidR="0086682C">
        <w:rPr>
          <w:rFonts w:asciiTheme="minorHAnsi" w:hAnsiTheme="minorHAnsi"/>
          <w:color w:val="auto"/>
          <w:sz w:val="22"/>
          <w:szCs w:val="22"/>
          <w:lang w:val="en-GB"/>
        </w:rPr>
        <w:t>G</w:t>
      </w:r>
      <w:r w:rsidRPr="00AA160C">
        <w:rPr>
          <w:rFonts w:asciiTheme="minorHAnsi" w:hAnsiTheme="minorHAnsi"/>
          <w:color w:val="auto"/>
          <w:sz w:val="22"/>
          <w:szCs w:val="22"/>
          <w:lang w:val="en-GB"/>
        </w:rPr>
        <w:t xml:space="preserve">uide has been </w:t>
      </w:r>
      <w:r w:rsidR="00E2171B">
        <w:rPr>
          <w:rFonts w:asciiTheme="minorHAnsi" w:hAnsiTheme="minorHAnsi"/>
          <w:color w:val="auto"/>
          <w:sz w:val="22"/>
          <w:szCs w:val="22"/>
          <w:lang w:val="en-GB"/>
        </w:rPr>
        <w:t>prepared</w:t>
      </w:r>
      <w:r w:rsidR="00E2171B" w:rsidRPr="00AA160C">
        <w:rPr>
          <w:rFonts w:asciiTheme="minorHAnsi" w:hAnsiTheme="minorHAnsi"/>
          <w:color w:val="auto"/>
          <w:sz w:val="22"/>
          <w:szCs w:val="22"/>
          <w:lang w:val="en-GB"/>
        </w:rPr>
        <w:t xml:space="preserve"> </w:t>
      </w:r>
      <w:r w:rsidR="004407BD" w:rsidRPr="00AA160C">
        <w:rPr>
          <w:rFonts w:asciiTheme="minorHAnsi" w:hAnsiTheme="minorHAnsi"/>
          <w:color w:val="auto"/>
          <w:sz w:val="22"/>
          <w:szCs w:val="22"/>
          <w:lang w:val="en-GB"/>
        </w:rPr>
        <w:t xml:space="preserve">to assist </w:t>
      </w:r>
      <w:r w:rsidR="008417D9">
        <w:rPr>
          <w:rFonts w:asciiTheme="minorHAnsi" w:hAnsiTheme="minorHAnsi"/>
          <w:color w:val="auto"/>
          <w:sz w:val="22"/>
          <w:szCs w:val="22"/>
          <w:lang w:val="en-GB"/>
        </w:rPr>
        <w:t xml:space="preserve">MIFID II </w:t>
      </w:r>
      <w:r w:rsidR="001A56D3">
        <w:rPr>
          <w:rFonts w:asciiTheme="minorHAnsi" w:hAnsiTheme="minorHAnsi"/>
          <w:color w:val="auto"/>
          <w:sz w:val="22"/>
          <w:szCs w:val="22"/>
          <w:lang w:val="en-GB"/>
        </w:rPr>
        <w:t>Asset M</w:t>
      </w:r>
      <w:r w:rsidR="00016673">
        <w:rPr>
          <w:rFonts w:asciiTheme="minorHAnsi" w:hAnsiTheme="minorHAnsi"/>
          <w:color w:val="auto"/>
          <w:sz w:val="22"/>
          <w:szCs w:val="22"/>
          <w:lang w:val="en-GB"/>
        </w:rPr>
        <w:t>anagement</w:t>
      </w:r>
      <w:r w:rsidR="009F6743">
        <w:rPr>
          <w:rStyle w:val="FootnoteReference"/>
          <w:rFonts w:asciiTheme="minorHAnsi" w:hAnsiTheme="minorHAnsi"/>
          <w:color w:val="auto"/>
          <w:sz w:val="22"/>
          <w:szCs w:val="22"/>
          <w:lang w:val="en-GB"/>
        </w:rPr>
        <w:footnoteReference w:id="2"/>
      </w:r>
      <w:r w:rsidR="00016673">
        <w:rPr>
          <w:rFonts w:asciiTheme="minorHAnsi" w:hAnsiTheme="minorHAnsi"/>
          <w:color w:val="auto"/>
          <w:sz w:val="22"/>
          <w:szCs w:val="22"/>
          <w:lang w:val="en-GB"/>
        </w:rPr>
        <w:t xml:space="preserve"> </w:t>
      </w:r>
      <w:r w:rsidR="001A56D3">
        <w:rPr>
          <w:rFonts w:asciiTheme="minorHAnsi" w:hAnsiTheme="minorHAnsi"/>
          <w:color w:val="auto"/>
          <w:sz w:val="22"/>
          <w:szCs w:val="22"/>
          <w:lang w:val="en-GB"/>
        </w:rPr>
        <w:t>and D</w:t>
      </w:r>
      <w:r w:rsidR="008417D9">
        <w:rPr>
          <w:rFonts w:asciiTheme="minorHAnsi" w:hAnsiTheme="minorHAnsi"/>
          <w:color w:val="auto"/>
          <w:sz w:val="22"/>
          <w:szCs w:val="22"/>
          <w:lang w:val="en-GB"/>
        </w:rPr>
        <w:t>istribution</w:t>
      </w:r>
      <w:r w:rsidR="009F6743">
        <w:rPr>
          <w:rStyle w:val="FootnoteReference"/>
          <w:rFonts w:asciiTheme="minorHAnsi" w:hAnsiTheme="minorHAnsi"/>
          <w:color w:val="auto"/>
          <w:sz w:val="22"/>
          <w:szCs w:val="22"/>
          <w:lang w:val="en-GB"/>
        </w:rPr>
        <w:footnoteReference w:id="3"/>
      </w:r>
      <w:r w:rsidR="008417D9">
        <w:rPr>
          <w:rFonts w:asciiTheme="minorHAnsi" w:hAnsiTheme="minorHAnsi"/>
          <w:color w:val="auto"/>
          <w:sz w:val="22"/>
          <w:szCs w:val="22"/>
          <w:lang w:val="en-GB"/>
        </w:rPr>
        <w:t xml:space="preserve"> </w:t>
      </w:r>
      <w:r w:rsidR="004407BD" w:rsidRPr="00AA160C">
        <w:rPr>
          <w:rFonts w:asciiTheme="minorHAnsi" w:hAnsiTheme="minorHAnsi"/>
          <w:color w:val="auto"/>
          <w:sz w:val="22"/>
          <w:szCs w:val="22"/>
          <w:lang w:val="en-GB"/>
        </w:rPr>
        <w:t xml:space="preserve">firms in </w:t>
      </w:r>
      <w:r w:rsidR="00016673">
        <w:rPr>
          <w:rFonts w:asciiTheme="minorHAnsi" w:hAnsiTheme="minorHAnsi"/>
          <w:color w:val="auto"/>
          <w:sz w:val="22"/>
          <w:szCs w:val="22"/>
          <w:lang w:val="en-GB"/>
        </w:rPr>
        <w:t xml:space="preserve">the </w:t>
      </w:r>
      <w:r w:rsidR="004407BD" w:rsidRPr="00AA160C">
        <w:rPr>
          <w:rFonts w:asciiTheme="minorHAnsi" w:hAnsiTheme="minorHAnsi"/>
          <w:color w:val="auto"/>
          <w:sz w:val="22"/>
          <w:szCs w:val="22"/>
          <w:lang w:val="en-GB"/>
        </w:rPr>
        <w:t>implementation of</w:t>
      </w:r>
      <w:r w:rsidR="004407BD" w:rsidRPr="00AA160C" w:rsidDel="004407BD">
        <w:rPr>
          <w:rFonts w:asciiTheme="minorHAnsi" w:hAnsiTheme="minorHAnsi"/>
          <w:color w:val="auto"/>
          <w:sz w:val="22"/>
          <w:szCs w:val="22"/>
          <w:lang w:val="en-GB"/>
        </w:rPr>
        <w:t xml:space="preserve"> </w:t>
      </w:r>
      <w:r w:rsidR="004407BD">
        <w:rPr>
          <w:rFonts w:asciiTheme="minorHAnsi" w:hAnsiTheme="minorHAnsi"/>
          <w:color w:val="auto"/>
          <w:sz w:val="22"/>
          <w:szCs w:val="22"/>
          <w:lang w:val="en-GB"/>
        </w:rPr>
        <w:t>MiFID</w:t>
      </w:r>
      <w:r w:rsidR="004407BD" w:rsidRPr="00AA160C">
        <w:rPr>
          <w:rFonts w:asciiTheme="minorHAnsi" w:hAnsiTheme="minorHAnsi"/>
          <w:color w:val="auto"/>
          <w:sz w:val="22"/>
          <w:szCs w:val="22"/>
          <w:lang w:val="en-GB"/>
        </w:rPr>
        <w:t xml:space="preserve"> II Costs </w:t>
      </w:r>
      <w:r w:rsidR="00A85DC2">
        <w:rPr>
          <w:rFonts w:asciiTheme="minorHAnsi" w:hAnsiTheme="minorHAnsi"/>
          <w:color w:val="auto"/>
          <w:sz w:val="22"/>
          <w:szCs w:val="22"/>
          <w:lang w:val="en-GB"/>
        </w:rPr>
        <w:t>&amp;</w:t>
      </w:r>
      <w:r w:rsidR="00A85DC2" w:rsidRPr="00AA160C">
        <w:rPr>
          <w:rFonts w:asciiTheme="minorHAnsi" w:hAnsiTheme="minorHAnsi"/>
          <w:color w:val="auto"/>
          <w:sz w:val="22"/>
          <w:szCs w:val="22"/>
          <w:lang w:val="en-GB"/>
        </w:rPr>
        <w:t xml:space="preserve"> </w:t>
      </w:r>
      <w:r w:rsidR="004407BD" w:rsidRPr="00AA160C">
        <w:rPr>
          <w:rFonts w:asciiTheme="minorHAnsi" w:hAnsiTheme="minorHAnsi"/>
          <w:color w:val="auto"/>
          <w:sz w:val="22"/>
          <w:szCs w:val="22"/>
          <w:lang w:val="en-GB"/>
        </w:rPr>
        <w:t xml:space="preserve">Charges provisions </w:t>
      </w:r>
      <w:r w:rsidR="004407BD">
        <w:rPr>
          <w:rFonts w:asciiTheme="minorHAnsi" w:hAnsiTheme="minorHAnsi"/>
          <w:color w:val="auto"/>
          <w:sz w:val="22"/>
          <w:szCs w:val="22"/>
          <w:lang w:val="en-GB"/>
        </w:rPr>
        <w:t xml:space="preserve">(effective from </w:t>
      </w:r>
      <w:r w:rsidRPr="00AA160C">
        <w:rPr>
          <w:rFonts w:asciiTheme="minorHAnsi" w:hAnsiTheme="minorHAnsi"/>
          <w:color w:val="auto"/>
          <w:sz w:val="22"/>
          <w:szCs w:val="22"/>
          <w:lang w:val="en-GB"/>
        </w:rPr>
        <w:t>3 January 2018</w:t>
      </w:r>
      <w:r w:rsidR="004407BD">
        <w:rPr>
          <w:rFonts w:asciiTheme="minorHAnsi" w:hAnsiTheme="minorHAnsi"/>
          <w:color w:val="auto"/>
          <w:sz w:val="22"/>
          <w:szCs w:val="22"/>
          <w:lang w:val="en-GB"/>
        </w:rPr>
        <w:t>).</w:t>
      </w:r>
      <w:r w:rsidRPr="00AA160C">
        <w:rPr>
          <w:rFonts w:asciiTheme="minorHAnsi" w:hAnsiTheme="minorHAnsi"/>
          <w:color w:val="auto"/>
          <w:sz w:val="22"/>
          <w:szCs w:val="22"/>
          <w:lang w:val="en-GB"/>
        </w:rPr>
        <w:t xml:space="preserve"> </w:t>
      </w:r>
      <w:r w:rsidR="004407BD">
        <w:rPr>
          <w:rFonts w:asciiTheme="minorHAnsi" w:hAnsiTheme="minorHAnsi"/>
          <w:color w:val="auto"/>
          <w:sz w:val="22"/>
          <w:szCs w:val="22"/>
          <w:lang w:val="en-GB"/>
        </w:rPr>
        <w:t xml:space="preserve"> </w:t>
      </w:r>
      <w:r w:rsidR="003C2369" w:rsidRPr="003C2369">
        <w:rPr>
          <w:rFonts w:asciiTheme="minorHAnsi" w:hAnsiTheme="minorHAnsi"/>
          <w:color w:val="auto"/>
          <w:sz w:val="22"/>
          <w:szCs w:val="22"/>
          <w:lang w:val="en-GB"/>
        </w:rPr>
        <w:t>This document is based on the MIFID II Directive</w:t>
      </w:r>
      <w:r w:rsidR="004B5660">
        <w:rPr>
          <w:rFonts w:asciiTheme="minorHAnsi" w:hAnsiTheme="minorHAnsi"/>
          <w:color w:val="auto"/>
          <w:sz w:val="22"/>
          <w:szCs w:val="22"/>
          <w:lang w:val="en-GB"/>
        </w:rPr>
        <w:t xml:space="preserve"> (the Directive)</w:t>
      </w:r>
      <w:r w:rsidR="003C2369">
        <w:rPr>
          <w:rFonts w:asciiTheme="minorHAnsi" w:hAnsiTheme="minorHAnsi"/>
          <w:color w:val="auto"/>
          <w:sz w:val="22"/>
          <w:szCs w:val="22"/>
          <w:lang w:val="en-GB"/>
        </w:rPr>
        <w:t xml:space="preserve">, </w:t>
      </w:r>
      <w:r w:rsidR="003C2369" w:rsidRPr="003C2369">
        <w:rPr>
          <w:rFonts w:asciiTheme="minorHAnsi" w:hAnsiTheme="minorHAnsi"/>
          <w:color w:val="auto"/>
          <w:sz w:val="22"/>
          <w:szCs w:val="22"/>
          <w:lang w:val="en-GB"/>
        </w:rPr>
        <w:t>the relevant Delegated Regulation</w:t>
      </w:r>
      <w:r w:rsidR="003C2369">
        <w:rPr>
          <w:rFonts w:asciiTheme="minorHAnsi" w:hAnsiTheme="minorHAnsi"/>
          <w:color w:val="auto"/>
          <w:sz w:val="22"/>
          <w:szCs w:val="22"/>
          <w:lang w:val="en-GB"/>
        </w:rPr>
        <w:t xml:space="preserve">, </w:t>
      </w:r>
      <w:r w:rsidR="00F51302" w:rsidRPr="00F51302">
        <w:rPr>
          <w:rFonts w:asciiTheme="minorHAnsi" w:hAnsiTheme="minorHAnsi"/>
          <w:color w:val="auto"/>
          <w:sz w:val="22"/>
          <w:szCs w:val="22"/>
          <w:lang w:val="en-GB"/>
        </w:rPr>
        <w:t xml:space="preserve">The European Securities and Markets Authority (ESMA) </w:t>
      </w:r>
      <w:r w:rsidR="00F51302">
        <w:rPr>
          <w:rFonts w:asciiTheme="minorHAnsi" w:hAnsiTheme="minorHAnsi"/>
          <w:color w:val="auto"/>
          <w:sz w:val="22"/>
          <w:szCs w:val="22"/>
          <w:lang w:val="en-GB"/>
        </w:rPr>
        <w:t>Questions and Answers on MiFID II and MiFIR Investor Protection Topics</w:t>
      </w:r>
      <w:r w:rsidR="00F51302" w:rsidRPr="00F51302">
        <w:rPr>
          <w:rFonts w:asciiTheme="minorHAnsi" w:hAnsiTheme="minorHAnsi"/>
          <w:color w:val="auto"/>
          <w:sz w:val="22"/>
          <w:szCs w:val="22"/>
          <w:lang w:val="en-GB"/>
        </w:rPr>
        <w:t xml:space="preserve"> </w:t>
      </w:r>
      <w:r w:rsidR="00F51302">
        <w:rPr>
          <w:rFonts w:asciiTheme="minorHAnsi" w:hAnsiTheme="minorHAnsi"/>
          <w:color w:val="auto"/>
          <w:sz w:val="22"/>
          <w:szCs w:val="22"/>
          <w:lang w:val="en-GB"/>
        </w:rPr>
        <w:t>(</w:t>
      </w:r>
      <w:r w:rsidR="004B5660">
        <w:rPr>
          <w:rFonts w:asciiTheme="minorHAnsi" w:hAnsiTheme="minorHAnsi"/>
          <w:color w:val="auto"/>
          <w:sz w:val="22"/>
          <w:szCs w:val="22"/>
          <w:lang w:val="en-GB"/>
        </w:rPr>
        <w:t>ESMA</w:t>
      </w:r>
      <w:r w:rsidR="00F51302">
        <w:rPr>
          <w:rFonts w:asciiTheme="minorHAnsi" w:hAnsiTheme="minorHAnsi"/>
          <w:color w:val="auto"/>
          <w:sz w:val="22"/>
          <w:szCs w:val="22"/>
          <w:lang w:val="en-GB"/>
        </w:rPr>
        <w:t xml:space="preserve"> </w:t>
      </w:r>
      <w:r w:rsidR="00281A28">
        <w:rPr>
          <w:rFonts w:asciiTheme="minorHAnsi" w:hAnsiTheme="minorHAnsi"/>
          <w:color w:val="auto"/>
          <w:sz w:val="22"/>
          <w:szCs w:val="22"/>
          <w:lang w:val="en-GB"/>
        </w:rPr>
        <w:t>Q&amp;</w:t>
      </w:r>
      <w:r w:rsidR="00F51302">
        <w:rPr>
          <w:rFonts w:asciiTheme="minorHAnsi" w:hAnsiTheme="minorHAnsi"/>
          <w:color w:val="auto"/>
          <w:sz w:val="22"/>
          <w:szCs w:val="22"/>
          <w:lang w:val="en-GB"/>
        </w:rPr>
        <w:t>A)</w:t>
      </w:r>
      <w:r w:rsidR="003C2369">
        <w:rPr>
          <w:rFonts w:asciiTheme="minorHAnsi" w:hAnsiTheme="minorHAnsi"/>
          <w:color w:val="auto"/>
          <w:sz w:val="22"/>
          <w:szCs w:val="22"/>
          <w:lang w:val="en-GB"/>
        </w:rPr>
        <w:t xml:space="preserve"> and the initiatives of the European Working Group (EWG).  </w:t>
      </w:r>
    </w:p>
    <w:p w14:paraId="5FB3B2EE" w14:textId="77777777" w:rsidR="004B5660" w:rsidRDefault="004B5660" w:rsidP="005C3669">
      <w:pPr>
        <w:pStyle w:val="NoSpacing"/>
        <w:spacing w:line="276" w:lineRule="auto"/>
        <w:ind w:left="431"/>
        <w:jc w:val="both"/>
        <w:rPr>
          <w:rFonts w:asciiTheme="minorHAnsi" w:hAnsiTheme="minorHAnsi"/>
          <w:color w:val="auto"/>
          <w:sz w:val="22"/>
          <w:szCs w:val="22"/>
          <w:lang w:val="en-GB"/>
        </w:rPr>
      </w:pPr>
    </w:p>
    <w:p w14:paraId="2C70AA7D" w14:textId="67C456A2" w:rsidR="00B21F91" w:rsidRPr="00AA160C" w:rsidRDefault="004B5660" w:rsidP="005C3669">
      <w:pPr>
        <w:pStyle w:val="NoSpacing"/>
        <w:spacing w:line="276" w:lineRule="auto"/>
        <w:ind w:left="431"/>
        <w:jc w:val="both"/>
        <w:rPr>
          <w:rFonts w:asciiTheme="minorHAnsi" w:hAnsiTheme="minorHAnsi"/>
          <w:color w:val="auto"/>
          <w:sz w:val="22"/>
          <w:szCs w:val="22"/>
          <w:lang w:val="en-GB"/>
        </w:rPr>
      </w:pPr>
      <w:r>
        <w:rPr>
          <w:rFonts w:asciiTheme="minorHAnsi" w:hAnsiTheme="minorHAnsi"/>
          <w:color w:val="auto"/>
          <w:sz w:val="22"/>
          <w:szCs w:val="22"/>
          <w:lang w:val="en-GB"/>
        </w:rPr>
        <w:t>FCA has implemented the Directive through PS17/14</w:t>
      </w:r>
      <w:r>
        <w:rPr>
          <w:rStyle w:val="FootnoteReference"/>
          <w:rFonts w:asciiTheme="minorHAnsi" w:hAnsiTheme="minorHAnsi"/>
          <w:color w:val="auto"/>
          <w:sz w:val="22"/>
          <w:szCs w:val="22"/>
          <w:lang w:val="en-GB"/>
        </w:rPr>
        <w:footnoteReference w:id="4"/>
      </w:r>
      <w:r>
        <w:rPr>
          <w:rFonts w:asciiTheme="minorHAnsi" w:hAnsiTheme="minorHAnsi"/>
          <w:color w:val="auto"/>
          <w:sz w:val="22"/>
          <w:szCs w:val="22"/>
          <w:lang w:val="en-GB"/>
        </w:rPr>
        <w:t xml:space="preserve">. For convenience, this guide refers primarily to the Directive, the Delegated Regulation, the ESMA Q&amp;A and EWG, as these are reflected in the relevant FCA COBS provisions. </w:t>
      </w:r>
      <w:r w:rsidR="003C2369">
        <w:rPr>
          <w:rFonts w:asciiTheme="minorHAnsi" w:hAnsiTheme="minorHAnsi"/>
          <w:color w:val="auto"/>
          <w:sz w:val="22"/>
          <w:szCs w:val="22"/>
          <w:lang w:val="en-GB"/>
        </w:rPr>
        <w:t xml:space="preserve">This guide </w:t>
      </w:r>
      <w:r w:rsidR="00AA160C" w:rsidRPr="00AA160C">
        <w:rPr>
          <w:rFonts w:asciiTheme="minorHAnsi" w:hAnsiTheme="minorHAnsi"/>
          <w:color w:val="auto"/>
          <w:sz w:val="22"/>
          <w:szCs w:val="22"/>
          <w:lang w:val="en-GB"/>
        </w:rPr>
        <w:t xml:space="preserve">will continue to </w:t>
      </w:r>
      <w:r w:rsidR="004407BD">
        <w:rPr>
          <w:rFonts w:asciiTheme="minorHAnsi" w:hAnsiTheme="minorHAnsi"/>
          <w:color w:val="auto"/>
          <w:sz w:val="22"/>
          <w:szCs w:val="22"/>
          <w:lang w:val="en-GB"/>
        </w:rPr>
        <w:t xml:space="preserve">be </w:t>
      </w:r>
      <w:r w:rsidR="00AA160C" w:rsidRPr="00AA160C">
        <w:rPr>
          <w:rFonts w:asciiTheme="minorHAnsi" w:hAnsiTheme="minorHAnsi"/>
          <w:color w:val="auto"/>
          <w:sz w:val="22"/>
          <w:szCs w:val="22"/>
          <w:lang w:val="en-GB"/>
        </w:rPr>
        <w:t xml:space="preserve">updated as </w:t>
      </w:r>
      <w:r w:rsidR="004407BD">
        <w:rPr>
          <w:rFonts w:asciiTheme="minorHAnsi" w:hAnsiTheme="minorHAnsi"/>
          <w:color w:val="auto"/>
          <w:sz w:val="22"/>
          <w:szCs w:val="22"/>
          <w:lang w:val="en-GB"/>
        </w:rPr>
        <w:t xml:space="preserve">further updates on MIFID II Costs </w:t>
      </w:r>
      <w:r w:rsidR="00A85DC2">
        <w:rPr>
          <w:rFonts w:asciiTheme="minorHAnsi" w:hAnsiTheme="minorHAnsi"/>
          <w:color w:val="auto"/>
          <w:sz w:val="22"/>
          <w:szCs w:val="22"/>
          <w:lang w:val="en-GB"/>
        </w:rPr>
        <w:t xml:space="preserve">&amp; </w:t>
      </w:r>
      <w:r w:rsidR="004407BD">
        <w:rPr>
          <w:rFonts w:asciiTheme="minorHAnsi" w:hAnsiTheme="minorHAnsi"/>
          <w:color w:val="auto"/>
          <w:sz w:val="22"/>
          <w:szCs w:val="22"/>
          <w:lang w:val="en-GB"/>
        </w:rPr>
        <w:t>Charges provisions become available</w:t>
      </w:r>
      <w:r w:rsidR="003C2369">
        <w:rPr>
          <w:rFonts w:asciiTheme="minorHAnsi" w:hAnsiTheme="minorHAnsi"/>
          <w:color w:val="auto"/>
          <w:sz w:val="22"/>
          <w:szCs w:val="22"/>
          <w:lang w:val="en-GB"/>
        </w:rPr>
        <w:t>.</w:t>
      </w:r>
    </w:p>
    <w:p w14:paraId="41A606F6" w14:textId="77777777" w:rsidR="00482C7E" w:rsidRDefault="00482C7E" w:rsidP="00760292">
      <w:pPr>
        <w:pStyle w:val="NoSpacing"/>
        <w:spacing w:line="276" w:lineRule="auto"/>
        <w:ind w:left="431"/>
        <w:jc w:val="both"/>
        <w:rPr>
          <w:lang w:val="en-GB"/>
        </w:rPr>
      </w:pPr>
    </w:p>
    <w:p w14:paraId="67C3E3EB" w14:textId="334B335E" w:rsidR="00AA160C" w:rsidRPr="00B560DA" w:rsidRDefault="00482C7E" w:rsidP="00760292">
      <w:pPr>
        <w:spacing w:after="160" w:line="276" w:lineRule="auto"/>
        <w:ind w:left="431"/>
        <w:rPr>
          <w:rFonts w:asciiTheme="minorHAnsi" w:hAnsiTheme="minorHAnsi"/>
          <w:szCs w:val="22"/>
          <w:lang w:val="en-GB"/>
        </w:rPr>
      </w:pPr>
      <w:r w:rsidRPr="00482C7E">
        <w:rPr>
          <w:rFonts w:asciiTheme="minorHAnsi" w:hAnsiTheme="minorHAnsi"/>
          <w:szCs w:val="22"/>
          <w:lang w:val="en-GB"/>
        </w:rPr>
        <w:t>Whilst the Guide is primarily intended for UK-based investment firms, MiFID II investment firms operating in other jurisdictions may also find this Guide useful.</w:t>
      </w:r>
      <w:r w:rsidR="00B560DA">
        <w:rPr>
          <w:rFonts w:asciiTheme="minorHAnsi" w:hAnsiTheme="minorHAnsi"/>
          <w:szCs w:val="22"/>
          <w:lang w:val="en-GB"/>
        </w:rPr>
        <w:br w:type="page"/>
      </w:r>
    </w:p>
    <w:p w14:paraId="02677453" w14:textId="77777777" w:rsidR="00A9741F" w:rsidRPr="006F3EFC" w:rsidRDefault="00A9741F" w:rsidP="00A9741F">
      <w:pPr>
        <w:pStyle w:val="Heading1"/>
        <w:rPr>
          <w:rFonts w:ascii="Calibri" w:hAnsi="Calibri"/>
          <w:b/>
          <w:bCs/>
          <w:color w:val="auto"/>
          <w:sz w:val="28"/>
          <w:szCs w:val="28"/>
        </w:rPr>
      </w:pPr>
      <w:bookmarkStart w:id="15" w:name="_Toc364001859"/>
      <w:bookmarkStart w:id="16" w:name="_Toc364343110"/>
      <w:bookmarkStart w:id="17" w:name="_Toc364343297"/>
      <w:bookmarkStart w:id="18" w:name="_Toc364343656"/>
      <w:bookmarkStart w:id="19" w:name="_Toc364635721"/>
      <w:bookmarkStart w:id="20" w:name="_Toc364636113"/>
      <w:bookmarkStart w:id="21" w:name="_Toc364636549"/>
      <w:bookmarkStart w:id="22" w:name="_Toc366502050"/>
      <w:bookmarkStart w:id="23" w:name="_Toc369907829"/>
      <w:bookmarkStart w:id="24" w:name="_Toc370052347"/>
      <w:bookmarkStart w:id="25" w:name="_Toc372234495"/>
      <w:bookmarkStart w:id="26" w:name="_Toc395871023"/>
      <w:bookmarkStart w:id="27" w:name="_Toc409468189"/>
      <w:r w:rsidRPr="006F3EFC">
        <w:rPr>
          <w:rFonts w:ascii="Calibri" w:hAnsi="Calibri"/>
          <w:b/>
          <w:bCs/>
          <w:color w:val="auto"/>
          <w:sz w:val="28"/>
          <w:szCs w:val="28"/>
        </w:rPr>
        <w:lastRenderedPageBreak/>
        <w:t>Scope of Guide</w:t>
      </w:r>
      <w:bookmarkEnd w:id="15"/>
      <w:bookmarkEnd w:id="16"/>
      <w:bookmarkEnd w:id="17"/>
      <w:bookmarkEnd w:id="18"/>
      <w:bookmarkEnd w:id="19"/>
      <w:bookmarkEnd w:id="20"/>
      <w:bookmarkEnd w:id="21"/>
      <w:bookmarkEnd w:id="22"/>
      <w:bookmarkEnd w:id="23"/>
      <w:bookmarkEnd w:id="24"/>
      <w:bookmarkEnd w:id="25"/>
      <w:bookmarkEnd w:id="26"/>
      <w:bookmarkEnd w:id="27"/>
    </w:p>
    <w:p w14:paraId="55E638CB" w14:textId="77777777" w:rsidR="00A9741F" w:rsidRDefault="00A9741F" w:rsidP="00A9741F">
      <w:pPr>
        <w:autoSpaceDE w:val="0"/>
        <w:autoSpaceDN w:val="0"/>
        <w:adjustRightInd w:val="0"/>
        <w:ind w:left="0"/>
        <w:rPr>
          <w:rFonts w:asciiTheme="minorHAnsi" w:hAnsiTheme="minorHAnsi"/>
          <w:b/>
          <w:sz w:val="24"/>
          <w:szCs w:val="24"/>
        </w:rPr>
      </w:pPr>
    </w:p>
    <w:p w14:paraId="7C1D96C4" w14:textId="77777777" w:rsidR="00A9741F" w:rsidRPr="006F3EFC" w:rsidRDefault="00A9741F" w:rsidP="00786673">
      <w:pPr>
        <w:pStyle w:val="Heading2"/>
        <w:ind w:left="1008"/>
      </w:pPr>
      <w:bookmarkStart w:id="28" w:name="_Toc364001860"/>
      <w:bookmarkStart w:id="29" w:name="_Toc364343111"/>
      <w:bookmarkStart w:id="30" w:name="_Toc364343298"/>
      <w:bookmarkStart w:id="31" w:name="_Toc364343657"/>
      <w:bookmarkStart w:id="32" w:name="_Toc364635722"/>
      <w:bookmarkStart w:id="33" w:name="_Toc364636114"/>
      <w:bookmarkStart w:id="34" w:name="_Toc364636550"/>
      <w:bookmarkStart w:id="35" w:name="_Toc366502051"/>
      <w:bookmarkStart w:id="36" w:name="_Toc369907830"/>
      <w:bookmarkStart w:id="37" w:name="_Toc370052348"/>
      <w:bookmarkStart w:id="38" w:name="_Toc372234496"/>
      <w:bookmarkStart w:id="39" w:name="_Toc395871024"/>
      <w:bookmarkStart w:id="40" w:name="_Toc409468190"/>
      <w:r w:rsidRPr="006F3EFC">
        <w:t>What this Guide covers:</w:t>
      </w:r>
      <w:bookmarkEnd w:id="28"/>
      <w:bookmarkEnd w:id="29"/>
      <w:bookmarkEnd w:id="30"/>
      <w:bookmarkEnd w:id="31"/>
      <w:bookmarkEnd w:id="32"/>
      <w:bookmarkEnd w:id="33"/>
      <w:bookmarkEnd w:id="34"/>
      <w:bookmarkEnd w:id="35"/>
      <w:bookmarkEnd w:id="36"/>
      <w:bookmarkEnd w:id="37"/>
      <w:bookmarkEnd w:id="38"/>
      <w:bookmarkEnd w:id="39"/>
      <w:bookmarkEnd w:id="40"/>
    </w:p>
    <w:p w14:paraId="162DD7F0" w14:textId="77777777" w:rsidR="00A9741F" w:rsidRPr="00AA160C" w:rsidRDefault="00A9741F" w:rsidP="00786673">
      <w:pPr>
        <w:autoSpaceDE w:val="0"/>
        <w:autoSpaceDN w:val="0"/>
        <w:adjustRightInd w:val="0"/>
        <w:ind w:left="432"/>
        <w:rPr>
          <w:rFonts w:asciiTheme="minorHAnsi" w:hAnsiTheme="minorHAnsi"/>
          <w:b/>
          <w:lang w:val="en-GB"/>
        </w:rPr>
      </w:pPr>
    </w:p>
    <w:p w14:paraId="77C1DA0A" w14:textId="1200B2DB" w:rsidR="00A9741F" w:rsidRDefault="00A9741F" w:rsidP="00894AA2">
      <w:pPr>
        <w:autoSpaceDE w:val="0"/>
        <w:autoSpaceDN w:val="0"/>
        <w:adjustRightInd w:val="0"/>
        <w:ind w:left="431"/>
        <w:jc w:val="both"/>
        <w:rPr>
          <w:rFonts w:asciiTheme="minorHAnsi" w:hAnsiTheme="minorHAnsi"/>
          <w:lang w:val="en-GB"/>
        </w:rPr>
      </w:pPr>
      <w:r w:rsidRPr="00AA160C">
        <w:rPr>
          <w:rFonts w:asciiTheme="minorHAnsi" w:hAnsiTheme="minorHAnsi"/>
          <w:lang w:val="en-GB"/>
        </w:rPr>
        <w:t>This Guide is intended to provide an industry</w:t>
      </w:r>
      <w:r w:rsidR="00474645">
        <w:rPr>
          <w:rFonts w:asciiTheme="minorHAnsi" w:hAnsiTheme="minorHAnsi"/>
          <w:lang w:val="en-GB"/>
        </w:rPr>
        <w:t>-</w:t>
      </w:r>
      <w:r w:rsidRPr="00AA160C">
        <w:rPr>
          <w:rFonts w:asciiTheme="minorHAnsi" w:hAnsiTheme="minorHAnsi"/>
          <w:lang w:val="en-GB"/>
        </w:rPr>
        <w:t xml:space="preserve">wide approach </w:t>
      </w:r>
      <w:r w:rsidR="0086682C">
        <w:rPr>
          <w:rFonts w:asciiTheme="minorHAnsi" w:hAnsiTheme="minorHAnsi"/>
          <w:lang w:val="en-GB"/>
        </w:rPr>
        <w:t>to</w:t>
      </w:r>
      <w:r w:rsidR="0086682C" w:rsidRPr="00AA160C">
        <w:rPr>
          <w:rFonts w:asciiTheme="minorHAnsi" w:hAnsiTheme="minorHAnsi"/>
          <w:lang w:val="en-GB"/>
        </w:rPr>
        <w:t xml:space="preserve"> </w:t>
      </w:r>
      <w:r w:rsidRPr="00AA160C">
        <w:rPr>
          <w:rFonts w:asciiTheme="minorHAnsi" w:hAnsiTheme="minorHAnsi"/>
          <w:lang w:val="en-GB"/>
        </w:rPr>
        <w:t xml:space="preserve">the practical aspects of implementing </w:t>
      </w:r>
      <w:r w:rsidR="007C36E9">
        <w:rPr>
          <w:rFonts w:asciiTheme="minorHAnsi" w:hAnsiTheme="minorHAnsi"/>
          <w:lang w:val="en-GB"/>
        </w:rPr>
        <w:t>MiFID</w:t>
      </w:r>
      <w:r w:rsidR="00474645">
        <w:rPr>
          <w:rFonts w:asciiTheme="minorHAnsi" w:hAnsiTheme="minorHAnsi"/>
          <w:lang w:val="en-GB"/>
        </w:rPr>
        <w:t xml:space="preserve"> II </w:t>
      </w:r>
      <w:r w:rsidRPr="00AA160C">
        <w:rPr>
          <w:rFonts w:asciiTheme="minorHAnsi" w:hAnsiTheme="minorHAnsi"/>
          <w:lang w:val="en-GB"/>
        </w:rPr>
        <w:t>Cost</w:t>
      </w:r>
      <w:r w:rsidR="00A85DC2">
        <w:rPr>
          <w:rFonts w:asciiTheme="minorHAnsi" w:hAnsiTheme="minorHAnsi"/>
          <w:lang w:val="en-GB"/>
        </w:rPr>
        <w:t>s</w:t>
      </w:r>
      <w:r w:rsidRPr="00AA160C">
        <w:rPr>
          <w:rFonts w:asciiTheme="minorHAnsi" w:hAnsiTheme="minorHAnsi"/>
          <w:lang w:val="en-GB"/>
        </w:rPr>
        <w:t xml:space="preserve"> </w:t>
      </w:r>
      <w:r w:rsidR="00A85DC2">
        <w:rPr>
          <w:rFonts w:asciiTheme="minorHAnsi" w:hAnsiTheme="minorHAnsi"/>
          <w:lang w:val="en-GB"/>
        </w:rPr>
        <w:t>&amp;</w:t>
      </w:r>
      <w:r w:rsidR="00A85DC2" w:rsidRPr="00AA160C">
        <w:rPr>
          <w:rFonts w:asciiTheme="minorHAnsi" w:hAnsiTheme="minorHAnsi"/>
          <w:lang w:val="en-GB"/>
        </w:rPr>
        <w:t xml:space="preserve"> </w:t>
      </w:r>
      <w:r w:rsidRPr="00AA160C">
        <w:rPr>
          <w:rFonts w:asciiTheme="minorHAnsi" w:hAnsiTheme="minorHAnsi"/>
          <w:lang w:val="en-GB"/>
        </w:rPr>
        <w:t xml:space="preserve">Charges provisions by </w:t>
      </w:r>
      <w:r w:rsidR="00474645">
        <w:rPr>
          <w:rFonts w:asciiTheme="minorHAnsi" w:hAnsiTheme="minorHAnsi"/>
          <w:lang w:val="en-GB"/>
        </w:rPr>
        <w:t>providing</w:t>
      </w:r>
      <w:r w:rsidRPr="00AA160C">
        <w:rPr>
          <w:rFonts w:asciiTheme="minorHAnsi" w:hAnsiTheme="minorHAnsi"/>
          <w:lang w:val="en-GB"/>
        </w:rPr>
        <w:t>:</w:t>
      </w:r>
    </w:p>
    <w:p w14:paraId="0DBFF28B" w14:textId="77777777" w:rsidR="00474645" w:rsidRPr="00AA160C" w:rsidRDefault="00474645" w:rsidP="00894AA2">
      <w:pPr>
        <w:autoSpaceDE w:val="0"/>
        <w:autoSpaceDN w:val="0"/>
        <w:adjustRightInd w:val="0"/>
        <w:spacing w:line="276" w:lineRule="auto"/>
        <w:ind w:left="432"/>
        <w:jc w:val="both"/>
        <w:rPr>
          <w:rFonts w:asciiTheme="minorHAnsi" w:hAnsiTheme="minorHAnsi"/>
          <w:lang w:val="en-GB"/>
        </w:rPr>
      </w:pPr>
    </w:p>
    <w:p w14:paraId="62D6B940" w14:textId="67661B65" w:rsidR="00A9741F" w:rsidRPr="00AA160C" w:rsidRDefault="00A9741F" w:rsidP="00894AA2">
      <w:pPr>
        <w:pStyle w:val="ListParagraph"/>
        <w:numPr>
          <w:ilvl w:val="0"/>
          <w:numId w:val="4"/>
        </w:numPr>
        <w:autoSpaceDE w:val="0"/>
        <w:autoSpaceDN w:val="0"/>
        <w:adjustRightInd w:val="0"/>
        <w:ind w:left="1151" w:hanging="357"/>
        <w:jc w:val="both"/>
        <w:rPr>
          <w:rFonts w:asciiTheme="minorHAnsi" w:hAnsiTheme="minorHAnsi"/>
          <w:lang w:val="en-GB"/>
        </w:rPr>
      </w:pPr>
      <w:r w:rsidRPr="00AA160C">
        <w:rPr>
          <w:rFonts w:asciiTheme="minorHAnsi" w:hAnsiTheme="minorHAnsi"/>
          <w:lang w:val="en-GB"/>
        </w:rPr>
        <w:t>R</w:t>
      </w:r>
      <w:r w:rsidR="00474645">
        <w:rPr>
          <w:rFonts w:asciiTheme="minorHAnsi" w:hAnsiTheme="minorHAnsi"/>
          <w:lang w:val="en-GB"/>
        </w:rPr>
        <w:t>eferences to r</w:t>
      </w:r>
      <w:r w:rsidRPr="00AA160C">
        <w:rPr>
          <w:rFonts w:asciiTheme="minorHAnsi" w:hAnsiTheme="minorHAnsi"/>
          <w:lang w:val="en-GB"/>
        </w:rPr>
        <w:t xml:space="preserve">elevant sections of </w:t>
      </w:r>
      <w:r>
        <w:rPr>
          <w:rFonts w:asciiTheme="minorHAnsi" w:hAnsiTheme="minorHAnsi"/>
          <w:lang w:val="en-GB"/>
        </w:rPr>
        <w:t>MiFID</w:t>
      </w:r>
      <w:r w:rsidRPr="00AA160C">
        <w:rPr>
          <w:rFonts w:asciiTheme="minorHAnsi" w:hAnsiTheme="minorHAnsi"/>
          <w:lang w:val="en-GB"/>
        </w:rPr>
        <w:t xml:space="preserve"> II</w:t>
      </w:r>
      <w:r w:rsidR="0086682C">
        <w:rPr>
          <w:rFonts w:asciiTheme="minorHAnsi" w:hAnsiTheme="minorHAnsi"/>
          <w:lang w:val="en-GB"/>
        </w:rPr>
        <w:t xml:space="preserve"> </w:t>
      </w:r>
      <w:r w:rsidR="00FA18AF">
        <w:rPr>
          <w:rFonts w:asciiTheme="minorHAnsi" w:hAnsiTheme="minorHAnsi"/>
          <w:lang w:val="en-GB"/>
        </w:rPr>
        <w:t>legislative</w:t>
      </w:r>
      <w:r w:rsidRPr="00AA160C">
        <w:rPr>
          <w:rFonts w:asciiTheme="minorHAnsi" w:hAnsiTheme="minorHAnsi"/>
          <w:lang w:val="en-GB"/>
        </w:rPr>
        <w:t xml:space="preserve"> documents</w:t>
      </w:r>
    </w:p>
    <w:p w14:paraId="628DC3C2" w14:textId="5335E95A" w:rsidR="00A9741F" w:rsidRPr="00AA160C" w:rsidRDefault="00A9741F" w:rsidP="00894AA2">
      <w:pPr>
        <w:pStyle w:val="ListParagraph"/>
        <w:numPr>
          <w:ilvl w:val="0"/>
          <w:numId w:val="4"/>
        </w:numPr>
        <w:autoSpaceDE w:val="0"/>
        <w:autoSpaceDN w:val="0"/>
        <w:adjustRightInd w:val="0"/>
        <w:ind w:left="1151" w:hanging="357"/>
        <w:jc w:val="both"/>
        <w:rPr>
          <w:rFonts w:asciiTheme="minorHAnsi" w:hAnsiTheme="minorHAnsi"/>
          <w:lang w:val="en-GB"/>
        </w:rPr>
      </w:pPr>
      <w:r w:rsidRPr="00AA160C">
        <w:rPr>
          <w:rFonts w:asciiTheme="minorHAnsi" w:hAnsiTheme="minorHAnsi"/>
          <w:lang w:val="en-GB"/>
        </w:rPr>
        <w:t>Examples of Ex</w:t>
      </w:r>
      <w:r w:rsidR="00474645">
        <w:rPr>
          <w:rFonts w:asciiTheme="minorHAnsi" w:hAnsiTheme="minorHAnsi"/>
          <w:lang w:val="en-GB"/>
        </w:rPr>
        <w:t>-</w:t>
      </w:r>
      <w:r w:rsidRPr="00AA160C">
        <w:rPr>
          <w:rFonts w:asciiTheme="minorHAnsi" w:hAnsiTheme="minorHAnsi"/>
          <w:lang w:val="en-GB"/>
        </w:rPr>
        <w:t>Ante and Ex</w:t>
      </w:r>
      <w:r w:rsidR="00474645">
        <w:rPr>
          <w:rFonts w:asciiTheme="minorHAnsi" w:hAnsiTheme="minorHAnsi"/>
          <w:lang w:val="en-GB"/>
        </w:rPr>
        <w:t>-</w:t>
      </w:r>
      <w:r w:rsidRPr="00AA160C">
        <w:rPr>
          <w:rFonts w:asciiTheme="minorHAnsi" w:hAnsiTheme="minorHAnsi"/>
          <w:lang w:val="en-GB"/>
        </w:rPr>
        <w:t>Post calculation methodolog</w:t>
      </w:r>
      <w:r w:rsidR="00474645">
        <w:rPr>
          <w:rFonts w:asciiTheme="minorHAnsi" w:hAnsiTheme="minorHAnsi"/>
          <w:lang w:val="en-GB"/>
        </w:rPr>
        <w:t>ies</w:t>
      </w:r>
      <w:r w:rsidRPr="00AA160C">
        <w:rPr>
          <w:rFonts w:asciiTheme="minorHAnsi" w:hAnsiTheme="minorHAnsi"/>
          <w:lang w:val="en-GB"/>
        </w:rPr>
        <w:t xml:space="preserve"> </w:t>
      </w:r>
    </w:p>
    <w:p w14:paraId="739BDED0" w14:textId="6DA8760C" w:rsidR="00A9741F" w:rsidRPr="00AA160C" w:rsidRDefault="00A9741F" w:rsidP="00894AA2">
      <w:pPr>
        <w:pStyle w:val="ListParagraph"/>
        <w:numPr>
          <w:ilvl w:val="0"/>
          <w:numId w:val="4"/>
        </w:numPr>
        <w:autoSpaceDE w:val="0"/>
        <w:autoSpaceDN w:val="0"/>
        <w:adjustRightInd w:val="0"/>
        <w:ind w:left="1151" w:hanging="357"/>
        <w:jc w:val="both"/>
        <w:rPr>
          <w:rFonts w:asciiTheme="minorHAnsi" w:hAnsiTheme="minorHAnsi"/>
          <w:lang w:val="en-GB"/>
        </w:rPr>
      </w:pPr>
      <w:r w:rsidRPr="00AA160C">
        <w:rPr>
          <w:rFonts w:asciiTheme="minorHAnsi" w:hAnsiTheme="minorHAnsi"/>
          <w:lang w:val="en-GB"/>
        </w:rPr>
        <w:t>Suggested templates for Ex</w:t>
      </w:r>
      <w:r w:rsidR="00474645">
        <w:rPr>
          <w:rFonts w:asciiTheme="minorHAnsi" w:hAnsiTheme="minorHAnsi"/>
          <w:lang w:val="en-GB"/>
        </w:rPr>
        <w:t>-</w:t>
      </w:r>
      <w:r w:rsidRPr="00AA160C">
        <w:rPr>
          <w:rFonts w:asciiTheme="minorHAnsi" w:hAnsiTheme="minorHAnsi"/>
          <w:lang w:val="en-GB"/>
        </w:rPr>
        <w:t>Ante And Ex</w:t>
      </w:r>
      <w:r w:rsidR="00474645">
        <w:rPr>
          <w:rFonts w:asciiTheme="minorHAnsi" w:hAnsiTheme="minorHAnsi"/>
          <w:lang w:val="en-GB"/>
        </w:rPr>
        <w:t>-</w:t>
      </w:r>
      <w:r w:rsidRPr="00AA160C">
        <w:rPr>
          <w:rFonts w:asciiTheme="minorHAnsi" w:hAnsiTheme="minorHAnsi"/>
          <w:lang w:val="en-GB"/>
        </w:rPr>
        <w:t>Post disclosure reports to clients</w:t>
      </w:r>
    </w:p>
    <w:p w14:paraId="3DBFBCA3" w14:textId="757246A2" w:rsidR="00A9741F" w:rsidRPr="00AA160C" w:rsidRDefault="00474645" w:rsidP="00894AA2">
      <w:pPr>
        <w:pStyle w:val="ListParagraph"/>
        <w:numPr>
          <w:ilvl w:val="0"/>
          <w:numId w:val="4"/>
        </w:numPr>
        <w:autoSpaceDE w:val="0"/>
        <w:autoSpaceDN w:val="0"/>
        <w:adjustRightInd w:val="0"/>
        <w:ind w:left="1151" w:hanging="357"/>
        <w:jc w:val="both"/>
        <w:rPr>
          <w:rFonts w:asciiTheme="minorHAnsi" w:hAnsiTheme="minorHAnsi"/>
          <w:lang w:val="en-GB"/>
        </w:rPr>
      </w:pPr>
      <w:r>
        <w:rPr>
          <w:rFonts w:asciiTheme="minorHAnsi" w:hAnsiTheme="minorHAnsi"/>
          <w:lang w:val="en-GB"/>
        </w:rPr>
        <w:t>Suggestions on t</w:t>
      </w:r>
      <w:r w:rsidR="00A9741F" w:rsidRPr="00AA160C">
        <w:rPr>
          <w:rFonts w:asciiTheme="minorHAnsi" w:hAnsiTheme="minorHAnsi"/>
          <w:lang w:val="en-GB"/>
        </w:rPr>
        <w:t xml:space="preserve">iming </w:t>
      </w:r>
      <w:r w:rsidR="00A367C5">
        <w:rPr>
          <w:rFonts w:asciiTheme="minorHAnsi" w:hAnsiTheme="minorHAnsi"/>
          <w:lang w:val="en-GB"/>
        </w:rPr>
        <w:t>for</w:t>
      </w:r>
      <w:r w:rsidR="00A9741F" w:rsidRPr="00AA160C">
        <w:rPr>
          <w:rFonts w:asciiTheme="minorHAnsi" w:hAnsiTheme="minorHAnsi"/>
          <w:lang w:val="en-GB"/>
        </w:rPr>
        <w:t xml:space="preserve"> disclosure</w:t>
      </w:r>
      <w:r>
        <w:rPr>
          <w:rFonts w:asciiTheme="minorHAnsi" w:hAnsiTheme="minorHAnsi"/>
          <w:lang w:val="en-GB"/>
        </w:rPr>
        <w:t>s</w:t>
      </w:r>
      <w:r w:rsidR="00A9741F" w:rsidRPr="00AA160C">
        <w:rPr>
          <w:rFonts w:asciiTheme="minorHAnsi" w:hAnsiTheme="minorHAnsi"/>
          <w:lang w:val="en-GB"/>
        </w:rPr>
        <w:t xml:space="preserve"> of Ex</w:t>
      </w:r>
      <w:r>
        <w:rPr>
          <w:rFonts w:asciiTheme="minorHAnsi" w:hAnsiTheme="minorHAnsi"/>
          <w:lang w:val="en-GB"/>
        </w:rPr>
        <w:t>-</w:t>
      </w:r>
      <w:r w:rsidR="00A9741F" w:rsidRPr="00AA160C">
        <w:rPr>
          <w:rFonts w:asciiTheme="minorHAnsi" w:hAnsiTheme="minorHAnsi"/>
          <w:lang w:val="en-GB"/>
        </w:rPr>
        <w:t>Ante and Ex</w:t>
      </w:r>
      <w:r>
        <w:rPr>
          <w:rFonts w:asciiTheme="minorHAnsi" w:hAnsiTheme="minorHAnsi"/>
          <w:lang w:val="en-GB"/>
        </w:rPr>
        <w:t>-</w:t>
      </w:r>
      <w:r w:rsidR="00A9741F" w:rsidRPr="00AA160C">
        <w:rPr>
          <w:rFonts w:asciiTheme="minorHAnsi" w:hAnsiTheme="minorHAnsi"/>
          <w:lang w:val="en-GB"/>
        </w:rPr>
        <w:t>Post</w:t>
      </w:r>
      <w:r>
        <w:rPr>
          <w:rFonts w:asciiTheme="minorHAnsi" w:hAnsiTheme="minorHAnsi"/>
          <w:lang w:val="en-GB"/>
        </w:rPr>
        <w:t xml:space="preserve"> reports to clients</w:t>
      </w:r>
    </w:p>
    <w:p w14:paraId="7E95850E" w14:textId="11DCEE98" w:rsidR="008D6CBD" w:rsidRPr="00FE33FF" w:rsidRDefault="008D6CBD" w:rsidP="00894AA2">
      <w:pPr>
        <w:pStyle w:val="ListParagraph"/>
        <w:numPr>
          <w:ilvl w:val="0"/>
          <w:numId w:val="4"/>
        </w:numPr>
        <w:autoSpaceDE w:val="0"/>
        <w:autoSpaceDN w:val="0"/>
        <w:adjustRightInd w:val="0"/>
        <w:ind w:left="1151" w:hanging="357"/>
        <w:jc w:val="both"/>
        <w:rPr>
          <w:rFonts w:asciiTheme="minorHAnsi" w:hAnsiTheme="minorHAnsi"/>
          <w:szCs w:val="22"/>
          <w:lang w:val="en-GB"/>
        </w:rPr>
      </w:pPr>
      <w:r>
        <w:rPr>
          <w:rFonts w:asciiTheme="minorHAnsi" w:hAnsiTheme="minorHAnsi"/>
          <w:lang w:val="en-GB"/>
        </w:rPr>
        <w:t>Reference to</w:t>
      </w:r>
      <w:r w:rsidR="00A9741F" w:rsidRPr="00AA160C">
        <w:rPr>
          <w:rFonts w:asciiTheme="minorHAnsi" w:hAnsiTheme="minorHAnsi"/>
          <w:lang w:val="en-GB"/>
        </w:rPr>
        <w:t xml:space="preserve"> the</w:t>
      </w:r>
      <w:r w:rsidR="003C2369">
        <w:rPr>
          <w:rFonts w:asciiTheme="minorHAnsi" w:hAnsiTheme="minorHAnsi"/>
          <w:lang w:val="en-GB"/>
        </w:rPr>
        <w:t xml:space="preserve"> EWG</w:t>
      </w:r>
      <w:r w:rsidR="00A9741F" w:rsidRPr="00AA160C">
        <w:rPr>
          <w:rFonts w:asciiTheme="minorHAnsi" w:hAnsiTheme="minorHAnsi"/>
          <w:lang w:val="en-GB"/>
        </w:rPr>
        <w:t xml:space="preserve"> </w:t>
      </w:r>
      <w:r w:rsidR="00A9741F">
        <w:rPr>
          <w:rFonts w:asciiTheme="minorHAnsi" w:hAnsiTheme="minorHAnsi"/>
          <w:lang w:val="en-GB"/>
        </w:rPr>
        <w:t>MiFID</w:t>
      </w:r>
      <w:r w:rsidR="00A9741F" w:rsidRPr="00AA160C">
        <w:rPr>
          <w:rFonts w:asciiTheme="minorHAnsi" w:hAnsiTheme="minorHAnsi"/>
          <w:lang w:val="en-GB"/>
        </w:rPr>
        <w:t xml:space="preserve"> II template Ver</w:t>
      </w:r>
      <w:r w:rsidR="008445B2">
        <w:rPr>
          <w:rFonts w:asciiTheme="minorHAnsi" w:hAnsiTheme="minorHAnsi"/>
          <w:lang w:val="en-GB"/>
        </w:rPr>
        <w:t>sion</w:t>
      </w:r>
      <w:r w:rsidR="00474645">
        <w:rPr>
          <w:rFonts w:asciiTheme="minorHAnsi" w:hAnsiTheme="minorHAnsi"/>
          <w:lang w:val="en-GB"/>
        </w:rPr>
        <w:t xml:space="preserve"> </w:t>
      </w:r>
      <w:r w:rsidR="00A9741F" w:rsidRPr="00AA160C">
        <w:rPr>
          <w:rFonts w:asciiTheme="minorHAnsi" w:hAnsiTheme="minorHAnsi"/>
          <w:lang w:val="en-GB"/>
        </w:rPr>
        <w:t xml:space="preserve">1.0 (EMT) Excel document used for distributing </w:t>
      </w:r>
      <w:r w:rsidR="00474645">
        <w:rPr>
          <w:rFonts w:asciiTheme="minorHAnsi" w:hAnsiTheme="minorHAnsi"/>
          <w:lang w:val="en-GB"/>
        </w:rPr>
        <w:t>f</w:t>
      </w:r>
      <w:r w:rsidR="00A9741F" w:rsidRPr="00AA160C">
        <w:rPr>
          <w:rFonts w:asciiTheme="minorHAnsi" w:hAnsiTheme="minorHAnsi"/>
          <w:lang w:val="en-GB"/>
        </w:rPr>
        <w:t xml:space="preserve">inancial </w:t>
      </w:r>
      <w:r w:rsidR="00474645">
        <w:rPr>
          <w:rFonts w:asciiTheme="minorHAnsi" w:hAnsiTheme="minorHAnsi"/>
          <w:lang w:val="en-GB"/>
        </w:rPr>
        <w:t>i</w:t>
      </w:r>
      <w:r w:rsidR="00A9741F" w:rsidRPr="00AA160C">
        <w:rPr>
          <w:rFonts w:asciiTheme="minorHAnsi" w:hAnsiTheme="minorHAnsi"/>
          <w:lang w:val="en-GB"/>
        </w:rPr>
        <w:t>nstrument data from the</w:t>
      </w:r>
      <w:r w:rsidR="00474645">
        <w:rPr>
          <w:rFonts w:asciiTheme="minorHAnsi" w:hAnsiTheme="minorHAnsi"/>
          <w:lang w:val="en-GB"/>
        </w:rPr>
        <w:t xml:space="preserve"> product</w:t>
      </w:r>
      <w:r w:rsidR="00A9741F" w:rsidRPr="00AA160C">
        <w:rPr>
          <w:rFonts w:asciiTheme="minorHAnsi" w:hAnsiTheme="minorHAnsi"/>
          <w:lang w:val="en-GB"/>
        </w:rPr>
        <w:t xml:space="preserve"> </w:t>
      </w:r>
      <w:r w:rsidR="00474645">
        <w:rPr>
          <w:rFonts w:asciiTheme="minorHAnsi" w:hAnsiTheme="minorHAnsi"/>
          <w:lang w:val="en-GB"/>
        </w:rPr>
        <w:t>m</w:t>
      </w:r>
      <w:r w:rsidR="00A9741F" w:rsidRPr="00AA160C">
        <w:rPr>
          <w:rFonts w:asciiTheme="minorHAnsi" w:hAnsiTheme="minorHAnsi"/>
          <w:lang w:val="en-GB"/>
        </w:rPr>
        <w:t xml:space="preserve">anufacturers to the </w:t>
      </w:r>
      <w:r w:rsidR="00474645">
        <w:rPr>
          <w:rFonts w:asciiTheme="minorHAnsi" w:hAnsiTheme="minorHAnsi"/>
          <w:lang w:val="en-GB"/>
        </w:rPr>
        <w:t>D</w:t>
      </w:r>
      <w:r w:rsidR="00A9741F" w:rsidRPr="00AA160C">
        <w:rPr>
          <w:rFonts w:asciiTheme="minorHAnsi" w:hAnsiTheme="minorHAnsi"/>
          <w:lang w:val="en-GB"/>
        </w:rPr>
        <w:t>istributors</w:t>
      </w:r>
      <w:r w:rsidR="00474645">
        <w:rPr>
          <w:rFonts w:asciiTheme="minorHAnsi" w:hAnsiTheme="minorHAnsi"/>
          <w:lang w:val="en-GB"/>
        </w:rPr>
        <w:t>.</w:t>
      </w:r>
    </w:p>
    <w:p w14:paraId="72FBD8DD" w14:textId="77777777" w:rsidR="00FE33FF" w:rsidRDefault="00FE33FF" w:rsidP="001F5422">
      <w:pPr>
        <w:autoSpaceDE w:val="0"/>
        <w:autoSpaceDN w:val="0"/>
        <w:adjustRightInd w:val="0"/>
        <w:jc w:val="both"/>
        <w:rPr>
          <w:rFonts w:asciiTheme="minorHAnsi" w:hAnsiTheme="minorHAnsi"/>
          <w:szCs w:val="22"/>
          <w:lang w:val="en-GB"/>
        </w:rPr>
      </w:pPr>
    </w:p>
    <w:p w14:paraId="49F00836" w14:textId="02439F09" w:rsidR="00FE33FF" w:rsidRPr="001F5422" w:rsidRDefault="00FE33FF" w:rsidP="001F5422">
      <w:pPr>
        <w:autoSpaceDE w:val="0"/>
        <w:autoSpaceDN w:val="0"/>
        <w:adjustRightInd w:val="0"/>
        <w:ind w:left="431"/>
        <w:jc w:val="both"/>
        <w:rPr>
          <w:rFonts w:asciiTheme="minorHAnsi" w:hAnsiTheme="minorHAnsi"/>
          <w:lang w:val="en-GB"/>
        </w:rPr>
      </w:pPr>
      <w:r w:rsidRPr="00AA160C">
        <w:rPr>
          <w:rFonts w:asciiTheme="minorHAnsi" w:hAnsiTheme="minorHAnsi"/>
          <w:lang w:val="en-GB"/>
        </w:rPr>
        <w:t>TISA recogni</w:t>
      </w:r>
      <w:r>
        <w:rPr>
          <w:rFonts w:asciiTheme="minorHAnsi" w:hAnsiTheme="minorHAnsi"/>
          <w:lang w:val="en-GB"/>
        </w:rPr>
        <w:t>s</w:t>
      </w:r>
      <w:r w:rsidRPr="00AA160C">
        <w:rPr>
          <w:rFonts w:asciiTheme="minorHAnsi" w:hAnsiTheme="minorHAnsi"/>
          <w:lang w:val="en-GB"/>
        </w:rPr>
        <w:t xml:space="preserve">es that each individual investment firm has its own distinct characteristics and there is no ‘one size fits all’ approach. </w:t>
      </w:r>
      <w:r>
        <w:rPr>
          <w:rFonts w:asciiTheme="minorHAnsi" w:hAnsiTheme="minorHAnsi"/>
          <w:lang w:val="en-GB"/>
        </w:rPr>
        <w:t xml:space="preserve"> F</w:t>
      </w:r>
      <w:r w:rsidRPr="00AA160C">
        <w:rPr>
          <w:rFonts w:asciiTheme="minorHAnsi" w:hAnsiTheme="minorHAnsi"/>
          <w:lang w:val="en-GB"/>
        </w:rPr>
        <w:t>irms</w:t>
      </w:r>
      <w:r>
        <w:rPr>
          <w:rFonts w:asciiTheme="minorHAnsi" w:hAnsiTheme="minorHAnsi"/>
          <w:lang w:val="en-GB"/>
        </w:rPr>
        <w:t>,</w:t>
      </w:r>
      <w:r w:rsidRPr="00AA160C">
        <w:rPr>
          <w:rFonts w:asciiTheme="minorHAnsi" w:hAnsiTheme="minorHAnsi"/>
          <w:lang w:val="en-GB"/>
        </w:rPr>
        <w:t xml:space="preserve"> whether Manufacturers, Distributors or Asset Managers</w:t>
      </w:r>
      <w:r>
        <w:rPr>
          <w:rFonts w:asciiTheme="minorHAnsi" w:hAnsiTheme="minorHAnsi"/>
          <w:lang w:val="en-GB"/>
        </w:rPr>
        <w:t>,</w:t>
      </w:r>
      <w:r w:rsidRPr="00AA160C">
        <w:rPr>
          <w:rFonts w:asciiTheme="minorHAnsi" w:hAnsiTheme="minorHAnsi"/>
          <w:lang w:val="en-GB"/>
        </w:rPr>
        <w:t xml:space="preserve"> </w:t>
      </w:r>
      <w:r>
        <w:rPr>
          <w:rFonts w:asciiTheme="minorHAnsi" w:hAnsiTheme="minorHAnsi"/>
          <w:lang w:val="en-GB"/>
        </w:rPr>
        <w:t>may</w:t>
      </w:r>
      <w:r w:rsidRPr="00AA160C">
        <w:rPr>
          <w:rFonts w:asciiTheme="minorHAnsi" w:hAnsiTheme="minorHAnsi"/>
          <w:lang w:val="en-GB"/>
        </w:rPr>
        <w:t xml:space="preserve"> modify the approach given here depending upon their own specific circumstances. </w:t>
      </w:r>
    </w:p>
    <w:p w14:paraId="4BB7BD71" w14:textId="77777777" w:rsidR="00FA18AF" w:rsidRPr="00AA160C" w:rsidRDefault="00FA18AF" w:rsidP="00786673">
      <w:pPr>
        <w:spacing w:line="276" w:lineRule="auto"/>
        <w:ind w:left="432"/>
        <w:rPr>
          <w:rFonts w:asciiTheme="minorHAnsi" w:eastAsia="Calibri" w:hAnsiTheme="minorHAnsi" w:cs="Calibri"/>
          <w:sz w:val="20"/>
          <w:lang w:val="en-GB"/>
        </w:rPr>
      </w:pPr>
    </w:p>
    <w:p w14:paraId="03303B37" w14:textId="460EC727" w:rsidR="00A9741F" w:rsidRPr="001F5422" w:rsidRDefault="00A9741F" w:rsidP="001F5422">
      <w:pPr>
        <w:pStyle w:val="Heading2"/>
        <w:ind w:left="1008"/>
        <w:rPr>
          <w:rFonts w:asciiTheme="minorHAnsi" w:hAnsiTheme="minorHAnsi"/>
          <w:b w:val="0"/>
          <w:lang w:val="en-GB"/>
        </w:rPr>
      </w:pPr>
      <w:bookmarkStart w:id="41" w:name="_Toc364001861"/>
      <w:bookmarkStart w:id="42" w:name="_Toc364343112"/>
      <w:bookmarkStart w:id="43" w:name="_Toc364343299"/>
      <w:bookmarkStart w:id="44" w:name="_Toc364343658"/>
      <w:bookmarkStart w:id="45" w:name="_Toc364635723"/>
      <w:bookmarkStart w:id="46" w:name="_Toc364636115"/>
      <w:bookmarkStart w:id="47" w:name="_Toc364636551"/>
      <w:bookmarkStart w:id="48" w:name="_Toc366502052"/>
      <w:bookmarkStart w:id="49" w:name="_Toc369907831"/>
      <w:bookmarkStart w:id="50" w:name="_Toc370052349"/>
      <w:bookmarkStart w:id="51" w:name="_Toc372234497"/>
      <w:bookmarkStart w:id="52" w:name="_Toc395871025"/>
      <w:bookmarkStart w:id="53" w:name="_Toc409468191"/>
      <w:r w:rsidRPr="00E51D7D">
        <w:rPr>
          <w:lang w:val="en-GB"/>
        </w:rPr>
        <w:t>What this Guide does not cover:</w:t>
      </w:r>
      <w:bookmarkStart w:id="54" w:name="_Toc409468192"/>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C0B4C46" w14:textId="77777777" w:rsidR="00D87BE9" w:rsidRPr="00AA160C" w:rsidRDefault="00D87BE9" w:rsidP="001F5422">
      <w:pPr>
        <w:autoSpaceDE w:val="0"/>
        <w:autoSpaceDN w:val="0"/>
        <w:adjustRightInd w:val="0"/>
        <w:spacing w:line="276" w:lineRule="auto"/>
        <w:ind w:left="0"/>
        <w:jc w:val="both"/>
        <w:rPr>
          <w:rFonts w:asciiTheme="minorHAnsi" w:hAnsiTheme="minorHAnsi"/>
          <w:lang w:val="en-GB"/>
        </w:rPr>
      </w:pPr>
    </w:p>
    <w:p w14:paraId="3A89B1A1" w14:textId="39AEDE30" w:rsidR="00A9741F" w:rsidRDefault="00A9741F" w:rsidP="00894AA2">
      <w:pPr>
        <w:autoSpaceDE w:val="0"/>
        <w:autoSpaceDN w:val="0"/>
        <w:adjustRightInd w:val="0"/>
        <w:ind w:left="431"/>
        <w:jc w:val="both"/>
        <w:rPr>
          <w:rFonts w:asciiTheme="minorHAnsi" w:hAnsiTheme="minorHAnsi"/>
          <w:lang w:val="en-GB"/>
        </w:rPr>
      </w:pPr>
      <w:r w:rsidRPr="00AA160C">
        <w:rPr>
          <w:rFonts w:asciiTheme="minorHAnsi" w:hAnsiTheme="minorHAnsi"/>
          <w:lang w:val="en-GB"/>
        </w:rPr>
        <w:t xml:space="preserve">This </w:t>
      </w:r>
      <w:r w:rsidR="0086682C">
        <w:rPr>
          <w:rFonts w:asciiTheme="minorHAnsi" w:hAnsiTheme="minorHAnsi"/>
          <w:lang w:val="en-GB"/>
        </w:rPr>
        <w:t>G</w:t>
      </w:r>
      <w:r w:rsidR="0086682C" w:rsidRPr="00AA160C">
        <w:rPr>
          <w:rFonts w:asciiTheme="minorHAnsi" w:hAnsiTheme="minorHAnsi"/>
          <w:lang w:val="en-GB"/>
        </w:rPr>
        <w:t xml:space="preserve">uide </w:t>
      </w:r>
      <w:r w:rsidRPr="00AA160C">
        <w:rPr>
          <w:rFonts w:asciiTheme="minorHAnsi" w:hAnsiTheme="minorHAnsi"/>
          <w:lang w:val="en-GB"/>
        </w:rPr>
        <w:t>does not cover Ex</w:t>
      </w:r>
      <w:r w:rsidR="00A367C5">
        <w:rPr>
          <w:rFonts w:asciiTheme="minorHAnsi" w:hAnsiTheme="minorHAnsi"/>
          <w:lang w:val="en-GB"/>
        </w:rPr>
        <w:t>-</w:t>
      </w:r>
      <w:r w:rsidRPr="00AA160C">
        <w:rPr>
          <w:rFonts w:asciiTheme="minorHAnsi" w:hAnsiTheme="minorHAnsi"/>
          <w:lang w:val="en-GB"/>
        </w:rPr>
        <w:t xml:space="preserve">Ante and Ex-Post calculation </w:t>
      </w:r>
      <w:r w:rsidR="00A367C5">
        <w:rPr>
          <w:rFonts w:asciiTheme="minorHAnsi" w:hAnsiTheme="minorHAnsi"/>
          <w:lang w:val="en-GB"/>
        </w:rPr>
        <w:t xml:space="preserve">details </w:t>
      </w:r>
      <w:r w:rsidRPr="00AA160C">
        <w:rPr>
          <w:rFonts w:asciiTheme="minorHAnsi" w:hAnsiTheme="minorHAnsi"/>
          <w:lang w:val="en-GB"/>
        </w:rPr>
        <w:t xml:space="preserve">applicable for </w:t>
      </w:r>
      <w:r w:rsidR="00A367C5">
        <w:rPr>
          <w:rFonts w:asciiTheme="minorHAnsi" w:hAnsiTheme="minorHAnsi"/>
          <w:lang w:val="en-GB"/>
        </w:rPr>
        <w:t>p</w:t>
      </w:r>
      <w:r w:rsidRPr="00AA160C">
        <w:rPr>
          <w:rFonts w:asciiTheme="minorHAnsi" w:hAnsiTheme="minorHAnsi"/>
          <w:lang w:val="en-GB"/>
        </w:rPr>
        <w:t>roduct class</w:t>
      </w:r>
      <w:r w:rsidR="00742DBF">
        <w:rPr>
          <w:rFonts w:asciiTheme="minorHAnsi" w:hAnsiTheme="minorHAnsi"/>
          <w:lang w:val="en-GB"/>
        </w:rPr>
        <w:t>es</w:t>
      </w:r>
      <w:r w:rsidRPr="00AA160C">
        <w:rPr>
          <w:rFonts w:asciiTheme="minorHAnsi" w:hAnsiTheme="minorHAnsi"/>
          <w:lang w:val="en-GB"/>
        </w:rPr>
        <w:t xml:space="preserve"> </w:t>
      </w:r>
      <w:r w:rsidR="00A367C5">
        <w:rPr>
          <w:rFonts w:asciiTheme="minorHAnsi" w:hAnsiTheme="minorHAnsi"/>
          <w:lang w:val="en-GB"/>
        </w:rPr>
        <w:t>such as</w:t>
      </w:r>
      <w:r w:rsidRPr="00AA160C">
        <w:rPr>
          <w:rFonts w:asciiTheme="minorHAnsi" w:hAnsiTheme="minorHAnsi"/>
          <w:lang w:val="en-GB"/>
        </w:rPr>
        <w:t xml:space="preserve"> Structured Products, FX, OTC derivatives</w:t>
      </w:r>
      <w:r w:rsidR="00A367C5">
        <w:rPr>
          <w:rFonts w:asciiTheme="minorHAnsi" w:hAnsiTheme="minorHAnsi"/>
          <w:lang w:val="en-GB"/>
        </w:rPr>
        <w:t>,</w:t>
      </w:r>
      <w:r w:rsidRPr="00AA160C">
        <w:rPr>
          <w:rFonts w:asciiTheme="minorHAnsi" w:hAnsiTheme="minorHAnsi"/>
          <w:lang w:val="en-GB"/>
        </w:rPr>
        <w:t xml:space="preserve"> etc.</w:t>
      </w:r>
    </w:p>
    <w:p w14:paraId="374957E6" w14:textId="77777777" w:rsidR="003B1941" w:rsidRPr="00851F2F" w:rsidRDefault="003B1941" w:rsidP="00894AA2">
      <w:pPr>
        <w:pStyle w:val="Heading2"/>
        <w:numPr>
          <w:ilvl w:val="0"/>
          <w:numId w:val="0"/>
        </w:numPr>
        <w:autoSpaceDE w:val="0"/>
        <w:autoSpaceDN w:val="0"/>
        <w:adjustRightInd w:val="0"/>
        <w:spacing w:before="0"/>
        <w:ind w:left="431"/>
        <w:jc w:val="both"/>
        <w:rPr>
          <w:rFonts w:asciiTheme="minorHAnsi" w:hAnsiTheme="minorHAnsi"/>
          <w:lang w:val="en-GB"/>
        </w:rPr>
      </w:pPr>
    </w:p>
    <w:p w14:paraId="696F90FA" w14:textId="2DF0A425" w:rsidR="003B1941" w:rsidRDefault="003B1941" w:rsidP="00894AA2">
      <w:pPr>
        <w:autoSpaceDE w:val="0"/>
        <w:autoSpaceDN w:val="0"/>
        <w:adjustRightInd w:val="0"/>
        <w:ind w:left="431"/>
        <w:jc w:val="both"/>
        <w:rPr>
          <w:rFonts w:asciiTheme="minorHAnsi" w:hAnsiTheme="minorHAnsi"/>
          <w:lang w:val="en-GB"/>
        </w:rPr>
      </w:pPr>
      <w:r>
        <w:rPr>
          <w:rFonts w:asciiTheme="minorHAnsi" w:hAnsiTheme="minorHAnsi"/>
          <w:lang w:val="en-GB"/>
        </w:rPr>
        <w:t xml:space="preserve">This </w:t>
      </w:r>
      <w:r w:rsidR="0086682C">
        <w:rPr>
          <w:rFonts w:asciiTheme="minorHAnsi" w:hAnsiTheme="minorHAnsi"/>
          <w:lang w:val="en-GB"/>
        </w:rPr>
        <w:t>G</w:t>
      </w:r>
      <w:r>
        <w:rPr>
          <w:rFonts w:asciiTheme="minorHAnsi" w:hAnsiTheme="minorHAnsi"/>
          <w:lang w:val="en-GB"/>
        </w:rPr>
        <w:t xml:space="preserve">uide does not cover the definition and methodology relating to the </w:t>
      </w:r>
      <w:r w:rsidRPr="00331B33">
        <w:rPr>
          <w:rFonts w:asciiTheme="minorHAnsi" w:hAnsiTheme="minorHAnsi"/>
          <w:i/>
          <w:lang w:val="en-GB"/>
        </w:rPr>
        <w:t>calculation</w:t>
      </w:r>
      <w:r>
        <w:rPr>
          <w:rFonts w:asciiTheme="minorHAnsi" w:hAnsiTheme="minorHAnsi"/>
          <w:i/>
          <w:lang w:val="en-GB"/>
        </w:rPr>
        <w:t xml:space="preserve"> </w:t>
      </w:r>
      <w:r w:rsidR="007550EE">
        <w:rPr>
          <w:rFonts w:asciiTheme="minorHAnsi" w:hAnsiTheme="minorHAnsi"/>
          <w:lang w:val="en-GB"/>
        </w:rPr>
        <w:t>of transaction costs</w:t>
      </w:r>
      <w:r w:rsidR="00A85DC2">
        <w:rPr>
          <w:rFonts w:asciiTheme="minorHAnsi" w:hAnsiTheme="minorHAnsi"/>
          <w:lang w:val="en-GB"/>
        </w:rPr>
        <w:t xml:space="preserve">, </w:t>
      </w:r>
      <w:r w:rsidR="007550EE">
        <w:rPr>
          <w:rFonts w:asciiTheme="minorHAnsi" w:hAnsiTheme="minorHAnsi"/>
          <w:lang w:val="en-GB"/>
        </w:rPr>
        <w:t xml:space="preserve">specifically the calculation of implicit costs. </w:t>
      </w:r>
      <w:r w:rsidR="00E834A4">
        <w:rPr>
          <w:rFonts w:asciiTheme="minorHAnsi" w:hAnsiTheme="minorHAnsi"/>
          <w:lang w:val="en-GB"/>
        </w:rPr>
        <w:t>R</w:t>
      </w:r>
      <w:r w:rsidR="007550EE">
        <w:rPr>
          <w:rFonts w:asciiTheme="minorHAnsi" w:hAnsiTheme="minorHAnsi"/>
          <w:lang w:val="en-GB"/>
        </w:rPr>
        <w:t xml:space="preserve">eaders </w:t>
      </w:r>
      <w:r w:rsidR="00E834A4">
        <w:rPr>
          <w:rFonts w:asciiTheme="minorHAnsi" w:hAnsiTheme="minorHAnsi"/>
          <w:lang w:val="en-GB"/>
        </w:rPr>
        <w:t xml:space="preserve">are referred </w:t>
      </w:r>
      <w:r w:rsidR="007550EE">
        <w:rPr>
          <w:rFonts w:asciiTheme="minorHAnsi" w:hAnsiTheme="minorHAnsi"/>
          <w:lang w:val="en-GB"/>
        </w:rPr>
        <w:t>to the</w:t>
      </w:r>
      <w:r w:rsidR="00CB36C9">
        <w:rPr>
          <w:rFonts w:asciiTheme="minorHAnsi" w:hAnsiTheme="minorHAnsi"/>
          <w:lang w:val="en-GB"/>
        </w:rPr>
        <w:t xml:space="preserve"> work </w:t>
      </w:r>
      <w:r w:rsidR="00F45FD4">
        <w:rPr>
          <w:rFonts w:asciiTheme="minorHAnsi" w:hAnsiTheme="minorHAnsi"/>
          <w:lang w:val="en-GB"/>
        </w:rPr>
        <w:t xml:space="preserve">that </w:t>
      </w:r>
      <w:r w:rsidR="00CB36C9">
        <w:rPr>
          <w:rFonts w:asciiTheme="minorHAnsi" w:hAnsiTheme="minorHAnsi"/>
          <w:lang w:val="en-GB"/>
        </w:rPr>
        <w:t>the Investment Association (</w:t>
      </w:r>
      <w:r w:rsidR="007550EE">
        <w:rPr>
          <w:rFonts w:asciiTheme="minorHAnsi" w:hAnsiTheme="minorHAnsi"/>
          <w:lang w:val="en-GB"/>
        </w:rPr>
        <w:t>IA</w:t>
      </w:r>
      <w:r w:rsidR="00CB36C9">
        <w:rPr>
          <w:rFonts w:asciiTheme="minorHAnsi" w:hAnsiTheme="minorHAnsi"/>
          <w:lang w:val="en-GB"/>
        </w:rPr>
        <w:t>)</w:t>
      </w:r>
      <w:r w:rsidR="007550EE">
        <w:rPr>
          <w:rFonts w:asciiTheme="minorHAnsi" w:hAnsiTheme="minorHAnsi"/>
          <w:lang w:val="en-GB"/>
        </w:rPr>
        <w:t xml:space="preserve"> </w:t>
      </w:r>
      <w:r w:rsidR="00CB36C9">
        <w:rPr>
          <w:rFonts w:asciiTheme="minorHAnsi" w:hAnsiTheme="minorHAnsi"/>
          <w:lang w:val="en-GB"/>
        </w:rPr>
        <w:t>is undertaking in this area</w:t>
      </w:r>
      <w:r w:rsidR="007550EE">
        <w:rPr>
          <w:rStyle w:val="FootnoteReference"/>
          <w:rFonts w:asciiTheme="minorHAnsi" w:hAnsiTheme="minorHAnsi"/>
          <w:lang w:val="en-GB"/>
        </w:rPr>
        <w:footnoteReference w:id="5"/>
      </w:r>
      <w:r w:rsidR="00742DBF">
        <w:rPr>
          <w:rFonts w:asciiTheme="minorHAnsi" w:hAnsiTheme="minorHAnsi"/>
          <w:lang w:val="en-GB"/>
        </w:rPr>
        <w:t xml:space="preserve"> and also Annex VI of the PRIIPS Delegated Regulation</w:t>
      </w:r>
      <w:r w:rsidR="006E2E5D">
        <w:rPr>
          <w:rStyle w:val="FootnoteReference"/>
          <w:rFonts w:asciiTheme="minorHAnsi" w:hAnsiTheme="minorHAnsi"/>
          <w:lang w:val="en-GB"/>
        </w:rPr>
        <w:footnoteReference w:id="6"/>
      </w:r>
      <w:r w:rsidR="004C1176">
        <w:rPr>
          <w:rFonts w:asciiTheme="minorHAnsi" w:hAnsiTheme="minorHAnsi"/>
          <w:lang w:val="en-GB"/>
        </w:rPr>
        <w:t xml:space="preserve"> and</w:t>
      </w:r>
      <w:r w:rsidR="006E2E5D">
        <w:rPr>
          <w:rFonts w:asciiTheme="minorHAnsi" w:hAnsiTheme="minorHAnsi"/>
          <w:lang w:val="en-GB"/>
        </w:rPr>
        <w:t xml:space="preserve"> related </w:t>
      </w:r>
      <w:r w:rsidR="00517119">
        <w:rPr>
          <w:rFonts w:asciiTheme="minorHAnsi" w:hAnsiTheme="minorHAnsi"/>
          <w:lang w:val="en-GB"/>
        </w:rPr>
        <w:t xml:space="preserve">joint </w:t>
      </w:r>
      <w:r w:rsidR="006E2E5D">
        <w:rPr>
          <w:rFonts w:asciiTheme="minorHAnsi" w:hAnsiTheme="minorHAnsi"/>
          <w:lang w:val="en-GB"/>
        </w:rPr>
        <w:t>ESA</w:t>
      </w:r>
      <w:r w:rsidR="00517119">
        <w:rPr>
          <w:rFonts w:asciiTheme="minorHAnsi" w:hAnsiTheme="minorHAnsi"/>
          <w:lang w:val="en-GB"/>
        </w:rPr>
        <w:t>s</w:t>
      </w:r>
      <w:r w:rsidR="006E2E5D">
        <w:rPr>
          <w:rFonts w:asciiTheme="minorHAnsi" w:hAnsiTheme="minorHAnsi"/>
          <w:lang w:val="en-GB"/>
        </w:rPr>
        <w:t xml:space="preserve"> PRIIPS Q &amp; A</w:t>
      </w:r>
      <w:r w:rsidR="006E2E5D">
        <w:rPr>
          <w:rStyle w:val="FootnoteReference"/>
          <w:rFonts w:asciiTheme="minorHAnsi" w:hAnsiTheme="minorHAnsi"/>
          <w:lang w:val="en-GB"/>
        </w:rPr>
        <w:footnoteReference w:id="7"/>
      </w:r>
      <w:r w:rsidR="007550EE">
        <w:rPr>
          <w:rFonts w:asciiTheme="minorHAnsi" w:hAnsiTheme="minorHAnsi"/>
          <w:lang w:val="en-GB"/>
        </w:rPr>
        <w:t>.</w:t>
      </w:r>
    </w:p>
    <w:p w14:paraId="68A1D0CA" w14:textId="77777777" w:rsidR="002A3F66" w:rsidRDefault="002A3F66" w:rsidP="00894AA2">
      <w:pPr>
        <w:autoSpaceDE w:val="0"/>
        <w:autoSpaceDN w:val="0"/>
        <w:adjustRightInd w:val="0"/>
        <w:spacing w:line="276" w:lineRule="auto"/>
        <w:ind w:left="432"/>
        <w:jc w:val="both"/>
        <w:rPr>
          <w:rFonts w:asciiTheme="minorHAnsi" w:hAnsiTheme="minorHAnsi"/>
          <w:lang w:val="en-GB"/>
        </w:rPr>
      </w:pPr>
    </w:p>
    <w:p w14:paraId="115B9A85" w14:textId="1B2E4A5A" w:rsidR="00FE33FF" w:rsidRDefault="002A3F66" w:rsidP="00894AA2">
      <w:pPr>
        <w:autoSpaceDE w:val="0"/>
        <w:autoSpaceDN w:val="0"/>
        <w:adjustRightInd w:val="0"/>
        <w:ind w:left="431"/>
        <w:jc w:val="both"/>
        <w:rPr>
          <w:rFonts w:asciiTheme="minorHAnsi" w:hAnsiTheme="minorHAnsi"/>
          <w:lang w:val="en-GB"/>
        </w:rPr>
      </w:pPr>
      <w:r>
        <w:rPr>
          <w:rFonts w:asciiTheme="minorHAnsi" w:hAnsiTheme="minorHAnsi"/>
          <w:lang w:val="en-GB"/>
        </w:rPr>
        <w:t xml:space="preserve">Additionally, this Guide does not cover </w:t>
      </w:r>
      <w:r w:rsidR="00B40814">
        <w:rPr>
          <w:rFonts w:asciiTheme="minorHAnsi" w:hAnsiTheme="minorHAnsi"/>
          <w:lang w:val="en-GB"/>
        </w:rPr>
        <w:t xml:space="preserve">the detail in </w:t>
      </w:r>
      <w:r>
        <w:rPr>
          <w:rFonts w:asciiTheme="minorHAnsi" w:hAnsiTheme="minorHAnsi"/>
          <w:lang w:val="en-GB"/>
        </w:rPr>
        <w:t xml:space="preserve">Article 60 relating to periodic statements </w:t>
      </w:r>
      <w:r w:rsidRPr="002A3F66">
        <w:rPr>
          <w:rFonts w:asciiTheme="minorHAnsi" w:hAnsiTheme="minorHAnsi"/>
          <w:lang w:val="en-GB"/>
        </w:rPr>
        <w:t>in respect of portfolio management</w:t>
      </w:r>
      <w:r w:rsidR="00031C66" w:rsidRPr="00031C66">
        <w:t xml:space="preserve"> </w:t>
      </w:r>
      <w:r w:rsidR="00031C66">
        <w:t xml:space="preserve">of the </w:t>
      </w:r>
      <w:r w:rsidR="00031C66" w:rsidRPr="00031C66">
        <w:rPr>
          <w:rFonts w:asciiTheme="minorHAnsi" w:hAnsiTheme="minorHAnsi"/>
          <w:lang w:val="en-GB"/>
        </w:rPr>
        <w:t>Commission Delegated Regulation of 25/4/16 supplementing Directive 2014/65/EU (MIFI</w:t>
      </w:r>
      <w:r w:rsidR="00031C66">
        <w:rPr>
          <w:rFonts w:asciiTheme="minorHAnsi" w:hAnsiTheme="minorHAnsi"/>
          <w:lang w:val="en-GB"/>
        </w:rPr>
        <w:t>D II Delegated Regulation)</w:t>
      </w:r>
      <w:r w:rsidR="00A85DC2">
        <w:rPr>
          <w:rStyle w:val="FootnoteReference"/>
          <w:rFonts w:asciiTheme="minorHAnsi" w:hAnsiTheme="minorHAnsi"/>
          <w:lang w:val="en-GB"/>
        </w:rPr>
        <w:footnoteReference w:id="8"/>
      </w:r>
      <w:r>
        <w:rPr>
          <w:rFonts w:asciiTheme="minorHAnsi" w:hAnsiTheme="minorHAnsi"/>
          <w:lang w:val="en-GB"/>
        </w:rPr>
        <w:t>.</w:t>
      </w:r>
      <w:r w:rsidR="00B070B4">
        <w:rPr>
          <w:rFonts w:asciiTheme="minorHAnsi" w:hAnsiTheme="minorHAnsi"/>
          <w:lang w:val="en-GB"/>
        </w:rPr>
        <w:t xml:space="preserve"> The IA has published </w:t>
      </w:r>
      <w:r w:rsidR="006B696A">
        <w:rPr>
          <w:rFonts w:asciiTheme="minorHAnsi" w:hAnsiTheme="minorHAnsi"/>
          <w:lang w:val="en-GB"/>
        </w:rPr>
        <w:t>G</w:t>
      </w:r>
      <w:r w:rsidR="00B070B4">
        <w:rPr>
          <w:rFonts w:asciiTheme="minorHAnsi" w:hAnsiTheme="minorHAnsi"/>
          <w:lang w:val="en-GB"/>
        </w:rPr>
        <w:t xml:space="preserve">uidance on </w:t>
      </w:r>
      <w:r w:rsidR="006B696A">
        <w:rPr>
          <w:rFonts w:asciiTheme="minorHAnsi" w:hAnsiTheme="minorHAnsi"/>
          <w:lang w:val="en-GB"/>
        </w:rPr>
        <w:t>Client Reporting</w:t>
      </w:r>
      <w:r w:rsidR="00606C70">
        <w:rPr>
          <w:rFonts w:asciiTheme="minorHAnsi" w:hAnsiTheme="minorHAnsi"/>
          <w:lang w:val="en-GB"/>
        </w:rPr>
        <w:t>,</w:t>
      </w:r>
      <w:r w:rsidR="006B696A">
        <w:rPr>
          <w:rFonts w:asciiTheme="minorHAnsi" w:hAnsiTheme="minorHAnsi"/>
          <w:lang w:val="en-GB"/>
        </w:rPr>
        <w:t xml:space="preserve"> which covers </w:t>
      </w:r>
      <w:r w:rsidR="00B070B4">
        <w:rPr>
          <w:rFonts w:asciiTheme="minorHAnsi" w:hAnsiTheme="minorHAnsi"/>
          <w:lang w:val="en-GB"/>
        </w:rPr>
        <w:t xml:space="preserve">Article 60 requirements and firms are </w:t>
      </w:r>
      <w:r w:rsidR="00B1450F">
        <w:rPr>
          <w:rFonts w:asciiTheme="minorHAnsi" w:hAnsiTheme="minorHAnsi"/>
          <w:lang w:val="en-GB"/>
        </w:rPr>
        <w:t>recommend</w:t>
      </w:r>
      <w:r w:rsidR="00B070B4">
        <w:rPr>
          <w:rFonts w:asciiTheme="minorHAnsi" w:hAnsiTheme="minorHAnsi"/>
          <w:lang w:val="en-GB"/>
        </w:rPr>
        <w:t xml:space="preserve">ed to </w:t>
      </w:r>
      <w:r w:rsidR="00B1450F">
        <w:rPr>
          <w:rFonts w:asciiTheme="minorHAnsi" w:hAnsiTheme="minorHAnsi"/>
          <w:lang w:val="en-GB"/>
        </w:rPr>
        <w:t>follow</w:t>
      </w:r>
      <w:r w:rsidR="00B070B4">
        <w:rPr>
          <w:rFonts w:asciiTheme="minorHAnsi" w:hAnsiTheme="minorHAnsi"/>
          <w:lang w:val="en-GB"/>
        </w:rPr>
        <w:t xml:space="preserve"> that guidance in this area.</w:t>
      </w:r>
      <w:r w:rsidR="00B070B4">
        <w:rPr>
          <w:rStyle w:val="FootnoteReference"/>
          <w:rFonts w:asciiTheme="minorHAnsi" w:hAnsiTheme="minorHAnsi"/>
          <w:lang w:val="en-GB"/>
        </w:rPr>
        <w:footnoteReference w:id="9"/>
      </w:r>
    </w:p>
    <w:p w14:paraId="7738D104" w14:textId="77777777" w:rsidR="00FE33FF" w:rsidRDefault="00FE33FF" w:rsidP="00894AA2">
      <w:pPr>
        <w:autoSpaceDE w:val="0"/>
        <w:autoSpaceDN w:val="0"/>
        <w:adjustRightInd w:val="0"/>
        <w:ind w:left="431"/>
        <w:jc w:val="both"/>
        <w:rPr>
          <w:rFonts w:asciiTheme="minorHAnsi" w:hAnsiTheme="minorHAnsi"/>
          <w:lang w:val="en-GB"/>
        </w:rPr>
      </w:pPr>
    </w:p>
    <w:p w14:paraId="42C35116" w14:textId="2EDB4E7F" w:rsidR="00A85DC2" w:rsidRDefault="00A367C5" w:rsidP="00894AA2">
      <w:pPr>
        <w:autoSpaceDE w:val="0"/>
        <w:autoSpaceDN w:val="0"/>
        <w:adjustRightInd w:val="0"/>
        <w:ind w:left="431"/>
        <w:jc w:val="both"/>
        <w:rPr>
          <w:rFonts w:ascii="Calibri" w:eastAsiaTheme="majorEastAsia" w:hAnsi="Calibri" w:cstheme="majorBidi"/>
          <w:b/>
          <w:bCs/>
          <w:sz w:val="28"/>
          <w:szCs w:val="28"/>
        </w:rPr>
      </w:pPr>
      <w:r w:rsidRPr="00AA160C">
        <w:rPr>
          <w:rFonts w:asciiTheme="minorHAnsi" w:hAnsiTheme="minorHAnsi"/>
          <w:lang w:val="en-GB"/>
        </w:rPr>
        <w:t xml:space="preserve">Individual investment firms are advised to refer to the relevant and latest </w:t>
      </w:r>
      <w:r>
        <w:rPr>
          <w:rFonts w:asciiTheme="minorHAnsi" w:hAnsiTheme="minorHAnsi"/>
          <w:lang w:val="en-GB"/>
        </w:rPr>
        <w:t>MiFID</w:t>
      </w:r>
      <w:r w:rsidRPr="00AA160C">
        <w:rPr>
          <w:rFonts w:asciiTheme="minorHAnsi" w:hAnsiTheme="minorHAnsi"/>
          <w:lang w:val="en-GB"/>
        </w:rPr>
        <w:t xml:space="preserve"> II</w:t>
      </w:r>
      <w:r w:rsidR="00CB36C9">
        <w:rPr>
          <w:rFonts w:asciiTheme="minorHAnsi" w:hAnsiTheme="minorHAnsi"/>
          <w:lang w:val="en-GB"/>
        </w:rPr>
        <w:t xml:space="preserve"> provisions along with </w:t>
      </w:r>
      <w:r w:rsidR="00CB36C9" w:rsidRPr="00CB36C9">
        <w:rPr>
          <w:rFonts w:asciiTheme="minorHAnsi" w:hAnsiTheme="minorHAnsi"/>
          <w:lang w:val="en-GB"/>
        </w:rPr>
        <w:t>the specific rules in the relevant rulebooks in local EU jurisdictions for further guidance</w:t>
      </w:r>
      <w:r w:rsidR="00CB36C9">
        <w:rPr>
          <w:rFonts w:asciiTheme="minorHAnsi" w:hAnsiTheme="minorHAnsi"/>
          <w:lang w:val="en-GB"/>
        </w:rPr>
        <w:t xml:space="preserve"> on implementation</w:t>
      </w:r>
      <w:r w:rsidR="00CB36C9" w:rsidRPr="00CB36C9">
        <w:rPr>
          <w:rFonts w:asciiTheme="minorHAnsi" w:hAnsiTheme="minorHAnsi"/>
          <w:lang w:val="en-GB"/>
        </w:rPr>
        <w:t xml:space="preserve">. </w:t>
      </w:r>
      <w:bookmarkStart w:id="55" w:name="_Toc364001863"/>
      <w:bookmarkStart w:id="56" w:name="_Toc364343114"/>
      <w:bookmarkStart w:id="57" w:name="_Toc364343301"/>
      <w:bookmarkStart w:id="58" w:name="_Toc364343660"/>
      <w:bookmarkStart w:id="59" w:name="_Toc364635724"/>
      <w:bookmarkStart w:id="60" w:name="_Toc364636116"/>
      <w:bookmarkStart w:id="61" w:name="_Toc364636552"/>
      <w:bookmarkStart w:id="62" w:name="_Toc366502053"/>
      <w:bookmarkStart w:id="63" w:name="_Toc369907832"/>
      <w:bookmarkStart w:id="64" w:name="_Toc370052350"/>
      <w:bookmarkStart w:id="65" w:name="_Toc372234498"/>
      <w:r w:rsidR="00A85DC2">
        <w:rPr>
          <w:rFonts w:ascii="Calibri" w:hAnsi="Calibri"/>
          <w:b/>
          <w:bCs/>
          <w:sz w:val="28"/>
          <w:szCs w:val="28"/>
        </w:rPr>
        <w:br w:type="page"/>
      </w:r>
    </w:p>
    <w:p w14:paraId="44955137" w14:textId="03D5F922" w:rsidR="00AA160C" w:rsidRDefault="00CC523E" w:rsidP="00CC523E">
      <w:pPr>
        <w:pStyle w:val="Heading1"/>
        <w:rPr>
          <w:rFonts w:ascii="Calibri" w:hAnsi="Calibri"/>
          <w:b/>
          <w:bCs/>
          <w:color w:val="auto"/>
          <w:sz w:val="28"/>
          <w:szCs w:val="28"/>
        </w:rPr>
      </w:pPr>
      <w:bookmarkStart w:id="66" w:name="_Toc395871026"/>
      <w:bookmarkStart w:id="67" w:name="_Toc409468193"/>
      <w:r w:rsidRPr="00CC523E">
        <w:rPr>
          <w:rFonts w:ascii="Calibri" w:hAnsi="Calibri"/>
          <w:b/>
          <w:bCs/>
          <w:color w:val="auto"/>
          <w:sz w:val="28"/>
          <w:szCs w:val="28"/>
        </w:rPr>
        <w:lastRenderedPageBreak/>
        <w:t xml:space="preserve">Scope of </w:t>
      </w:r>
      <w:r>
        <w:rPr>
          <w:rFonts w:ascii="Calibri" w:hAnsi="Calibri"/>
          <w:b/>
          <w:bCs/>
          <w:color w:val="auto"/>
          <w:sz w:val="28"/>
          <w:szCs w:val="28"/>
        </w:rPr>
        <w:t>MiFID</w:t>
      </w:r>
      <w:r w:rsidRPr="00CC523E">
        <w:rPr>
          <w:rFonts w:ascii="Calibri" w:hAnsi="Calibri"/>
          <w:b/>
          <w:bCs/>
          <w:color w:val="auto"/>
          <w:sz w:val="28"/>
          <w:szCs w:val="28"/>
        </w:rPr>
        <w:t xml:space="preserve"> II and Costs &amp; Charges</w:t>
      </w:r>
      <w:bookmarkEnd w:id="55"/>
      <w:bookmarkEnd w:id="56"/>
      <w:bookmarkEnd w:id="57"/>
      <w:bookmarkEnd w:id="58"/>
      <w:bookmarkEnd w:id="59"/>
      <w:bookmarkEnd w:id="60"/>
      <w:bookmarkEnd w:id="61"/>
      <w:bookmarkEnd w:id="62"/>
      <w:bookmarkEnd w:id="63"/>
      <w:bookmarkEnd w:id="64"/>
      <w:bookmarkEnd w:id="65"/>
      <w:bookmarkEnd w:id="66"/>
      <w:bookmarkEnd w:id="67"/>
    </w:p>
    <w:p w14:paraId="1E73B285" w14:textId="77777777" w:rsidR="00CC523E" w:rsidRPr="00CC523E" w:rsidRDefault="00CC523E" w:rsidP="00CC523E"/>
    <w:p w14:paraId="1A8DE3D7" w14:textId="6AF5A7EF" w:rsidR="00AA160C" w:rsidRPr="00CC523E" w:rsidRDefault="00AA160C" w:rsidP="00CC523E">
      <w:pPr>
        <w:pStyle w:val="Heading2"/>
        <w:rPr>
          <w:b w:val="0"/>
          <w:bCs w:val="0"/>
        </w:rPr>
      </w:pPr>
      <w:bookmarkStart w:id="68" w:name="_Toc364001864"/>
      <w:bookmarkStart w:id="69" w:name="_Toc364343115"/>
      <w:bookmarkStart w:id="70" w:name="_Toc364343302"/>
      <w:bookmarkStart w:id="71" w:name="_Toc364343661"/>
      <w:bookmarkStart w:id="72" w:name="_Toc364635725"/>
      <w:bookmarkStart w:id="73" w:name="_Toc364636117"/>
      <w:bookmarkStart w:id="74" w:name="_Toc364636553"/>
      <w:bookmarkStart w:id="75" w:name="_Toc366502054"/>
      <w:bookmarkStart w:id="76" w:name="_Toc369907833"/>
      <w:bookmarkStart w:id="77" w:name="_Toc370052351"/>
      <w:bookmarkStart w:id="78" w:name="_Toc372234499"/>
      <w:bookmarkStart w:id="79" w:name="_Toc395871027"/>
      <w:bookmarkStart w:id="80" w:name="_Toc409468194"/>
      <w:r w:rsidRPr="00CC523E">
        <w:t xml:space="preserve">Scope of </w:t>
      </w:r>
      <w:r w:rsidR="00CC523E">
        <w:t>MiFID</w:t>
      </w:r>
      <w:r w:rsidRPr="00CC523E">
        <w:t xml:space="preserve"> II</w:t>
      </w:r>
      <w:bookmarkEnd w:id="68"/>
      <w:bookmarkEnd w:id="69"/>
      <w:bookmarkEnd w:id="70"/>
      <w:bookmarkEnd w:id="71"/>
      <w:bookmarkEnd w:id="72"/>
      <w:bookmarkEnd w:id="73"/>
      <w:bookmarkEnd w:id="74"/>
      <w:bookmarkEnd w:id="75"/>
      <w:bookmarkEnd w:id="76"/>
      <w:bookmarkEnd w:id="77"/>
      <w:bookmarkEnd w:id="78"/>
      <w:bookmarkEnd w:id="79"/>
      <w:bookmarkEnd w:id="80"/>
    </w:p>
    <w:p w14:paraId="506A6DAB" w14:textId="77777777" w:rsidR="00AA160C" w:rsidRPr="00AA160C" w:rsidRDefault="00AA160C" w:rsidP="00AA160C">
      <w:pPr>
        <w:jc w:val="both"/>
        <w:rPr>
          <w:rFonts w:asciiTheme="minorHAnsi" w:hAnsiTheme="minorHAnsi"/>
          <w:szCs w:val="22"/>
        </w:rPr>
      </w:pPr>
    </w:p>
    <w:p w14:paraId="1DFE2CAA" w14:textId="7C76AACE" w:rsidR="00AA160C" w:rsidRPr="00AA160C" w:rsidRDefault="00CC523E" w:rsidP="00B40814">
      <w:pPr>
        <w:pStyle w:val="ListParagraph"/>
        <w:autoSpaceDE w:val="0"/>
        <w:autoSpaceDN w:val="0"/>
        <w:adjustRightInd w:val="0"/>
        <w:spacing w:line="276" w:lineRule="auto"/>
        <w:ind w:left="360"/>
        <w:jc w:val="both"/>
        <w:rPr>
          <w:rFonts w:asciiTheme="minorHAnsi" w:eastAsia="Cambria" w:hAnsiTheme="minorHAnsi"/>
          <w:szCs w:val="22"/>
          <w:lang w:val="en-GB"/>
        </w:rPr>
      </w:pPr>
      <w:r>
        <w:rPr>
          <w:rFonts w:asciiTheme="minorHAnsi" w:eastAsia="Cambria" w:hAnsiTheme="minorHAnsi"/>
          <w:szCs w:val="22"/>
          <w:lang w:val="en-GB"/>
        </w:rPr>
        <w:t>MIFID</w:t>
      </w:r>
      <w:r w:rsidR="00AA160C" w:rsidRPr="00AA160C">
        <w:rPr>
          <w:rFonts w:asciiTheme="minorHAnsi" w:eastAsia="Cambria" w:hAnsiTheme="minorHAnsi"/>
          <w:szCs w:val="22"/>
          <w:lang w:val="en-GB"/>
        </w:rPr>
        <w:t xml:space="preserve"> II applies to operators of regulated markets and trading venues, and to </w:t>
      </w:r>
      <w:r>
        <w:rPr>
          <w:rFonts w:asciiTheme="minorHAnsi" w:eastAsia="Cambria" w:hAnsiTheme="minorHAnsi"/>
          <w:szCs w:val="22"/>
          <w:lang w:val="en-GB"/>
        </w:rPr>
        <w:t>MIFID</w:t>
      </w:r>
      <w:r w:rsidR="00AA160C" w:rsidRPr="00AA160C">
        <w:rPr>
          <w:rFonts w:asciiTheme="minorHAnsi" w:eastAsia="Cambria" w:hAnsiTheme="minorHAnsi"/>
          <w:szCs w:val="22"/>
          <w:lang w:val="en-GB"/>
        </w:rPr>
        <w:t xml:space="preserve"> </w:t>
      </w:r>
      <w:r w:rsidR="00B40814">
        <w:rPr>
          <w:rFonts w:asciiTheme="minorHAnsi" w:eastAsia="Cambria" w:hAnsiTheme="minorHAnsi"/>
          <w:szCs w:val="22"/>
          <w:lang w:val="en-GB"/>
        </w:rPr>
        <w:t>i</w:t>
      </w:r>
      <w:r w:rsidR="00AA160C" w:rsidRPr="00AA160C">
        <w:rPr>
          <w:rFonts w:asciiTheme="minorHAnsi" w:eastAsia="Cambria" w:hAnsiTheme="minorHAnsi"/>
          <w:szCs w:val="22"/>
          <w:lang w:val="en-GB"/>
        </w:rPr>
        <w:t xml:space="preserve">nvestment </w:t>
      </w:r>
      <w:r w:rsidR="00B40814">
        <w:rPr>
          <w:rFonts w:asciiTheme="minorHAnsi" w:eastAsia="Cambria" w:hAnsiTheme="minorHAnsi"/>
          <w:szCs w:val="22"/>
          <w:lang w:val="en-GB"/>
        </w:rPr>
        <w:t>f</w:t>
      </w:r>
      <w:r w:rsidR="00AA160C" w:rsidRPr="00AA160C">
        <w:rPr>
          <w:rFonts w:asciiTheme="minorHAnsi" w:eastAsia="Cambria" w:hAnsiTheme="minorHAnsi"/>
          <w:szCs w:val="22"/>
          <w:lang w:val="en-GB"/>
        </w:rPr>
        <w:t>irms</w:t>
      </w:r>
      <w:r>
        <w:rPr>
          <w:rFonts w:asciiTheme="minorHAnsi" w:eastAsia="Cambria" w:hAnsiTheme="minorHAnsi"/>
          <w:szCs w:val="22"/>
          <w:lang w:val="en-GB"/>
        </w:rPr>
        <w:t xml:space="preserve">, </w:t>
      </w:r>
      <w:r w:rsidR="00AA160C" w:rsidRPr="00AA160C">
        <w:rPr>
          <w:rFonts w:asciiTheme="minorHAnsi" w:eastAsia="Cambria" w:hAnsiTheme="minorHAnsi"/>
          <w:szCs w:val="22"/>
          <w:lang w:val="en-GB"/>
        </w:rPr>
        <w:t xml:space="preserve">which carry out investment services or activities in relation to financial instruments. </w:t>
      </w:r>
      <w:r w:rsidR="005803AC">
        <w:rPr>
          <w:rFonts w:asciiTheme="minorHAnsi" w:eastAsia="Cambria" w:hAnsiTheme="minorHAnsi"/>
          <w:szCs w:val="22"/>
          <w:lang w:val="en-GB"/>
        </w:rPr>
        <w:t xml:space="preserve"> </w:t>
      </w:r>
      <w:r>
        <w:rPr>
          <w:rFonts w:asciiTheme="minorHAnsi" w:eastAsia="Cambria" w:hAnsiTheme="minorHAnsi"/>
          <w:szCs w:val="22"/>
          <w:lang w:val="en-GB"/>
        </w:rPr>
        <w:t>MIFID</w:t>
      </w:r>
      <w:r w:rsidR="00AA160C" w:rsidRPr="00AA160C">
        <w:rPr>
          <w:rFonts w:asciiTheme="minorHAnsi" w:eastAsia="Cambria" w:hAnsiTheme="minorHAnsi"/>
          <w:szCs w:val="22"/>
          <w:lang w:val="en-GB"/>
        </w:rPr>
        <w:t xml:space="preserve"> investment services/activities include:</w:t>
      </w:r>
    </w:p>
    <w:p w14:paraId="3B042CAE" w14:textId="77777777" w:rsidR="00AA160C" w:rsidRPr="00AA160C" w:rsidRDefault="00AA160C" w:rsidP="00B40814">
      <w:pPr>
        <w:pStyle w:val="ListParagraph"/>
        <w:autoSpaceDE w:val="0"/>
        <w:autoSpaceDN w:val="0"/>
        <w:adjustRightInd w:val="0"/>
        <w:spacing w:line="276" w:lineRule="auto"/>
        <w:ind w:left="360"/>
        <w:jc w:val="both"/>
        <w:rPr>
          <w:rFonts w:asciiTheme="minorHAnsi" w:eastAsia="Cambria" w:hAnsiTheme="minorHAnsi"/>
          <w:szCs w:val="22"/>
          <w:lang w:val="en-GB"/>
        </w:rPr>
      </w:pPr>
    </w:p>
    <w:p w14:paraId="2A32EE85"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eastAsia="Calibri" w:hAnsiTheme="minorHAnsi"/>
          <w:szCs w:val="22"/>
          <w:lang w:val="en-GB" w:eastAsia="en-NZ"/>
        </w:rPr>
      </w:pPr>
      <w:r w:rsidRPr="00AA160C">
        <w:rPr>
          <w:rFonts w:asciiTheme="minorHAnsi" w:hAnsiTheme="minorHAnsi"/>
          <w:szCs w:val="22"/>
          <w:lang w:val="en-GB"/>
        </w:rPr>
        <w:t>Reception and transmission of orders in relation to one or more financial instruments;</w:t>
      </w:r>
    </w:p>
    <w:p w14:paraId="7EF53FF3"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Execution of orders on behalf of clients;</w:t>
      </w:r>
    </w:p>
    <w:p w14:paraId="21A3531A"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Dealing on own account;</w:t>
      </w:r>
    </w:p>
    <w:p w14:paraId="11B7CFCF"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Portfolio management;</w:t>
      </w:r>
    </w:p>
    <w:p w14:paraId="53ABF6FD"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Investment advice;</w:t>
      </w:r>
    </w:p>
    <w:p w14:paraId="072F29FF"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Placing, and underwriting the placement of, financial instruments.</w:t>
      </w:r>
    </w:p>
    <w:p w14:paraId="376AC632" w14:textId="77777777" w:rsidR="00AA160C" w:rsidRPr="00AA160C" w:rsidRDefault="00AA160C" w:rsidP="00B40814">
      <w:pPr>
        <w:pStyle w:val="NoSpacing"/>
        <w:spacing w:line="276" w:lineRule="auto"/>
        <w:ind w:left="360"/>
        <w:jc w:val="both"/>
        <w:rPr>
          <w:rFonts w:asciiTheme="minorHAnsi" w:hAnsiTheme="minorHAnsi"/>
          <w:sz w:val="22"/>
          <w:szCs w:val="22"/>
          <w:lang w:val="en-GB"/>
        </w:rPr>
      </w:pPr>
    </w:p>
    <w:p w14:paraId="16424C9A" w14:textId="777A5358" w:rsidR="00AA160C" w:rsidRDefault="00AA160C" w:rsidP="00B40814">
      <w:pPr>
        <w:pStyle w:val="NoSpacing"/>
        <w:spacing w:line="276" w:lineRule="auto"/>
        <w:ind w:left="360"/>
        <w:jc w:val="both"/>
        <w:rPr>
          <w:rFonts w:asciiTheme="minorHAnsi" w:hAnsiTheme="minorHAnsi"/>
          <w:color w:val="auto"/>
          <w:sz w:val="22"/>
          <w:szCs w:val="22"/>
          <w:lang w:val="en-GB"/>
        </w:rPr>
      </w:pPr>
      <w:r w:rsidRPr="00AA160C">
        <w:rPr>
          <w:rFonts w:asciiTheme="minorHAnsi" w:hAnsiTheme="minorHAnsi"/>
          <w:color w:val="auto"/>
          <w:sz w:val="22"/>
          <w:szCs w:val="22"/>
          <w:lang w:val="en-GB"/>
        </w:rPr>
        <w:t xml:space="preserve">Certain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‘ancillary activities’ are also in scope, where they are carried on by a firm alongside ‘mainstream’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activities. These ancillary activities include:</w:t>
      </w:r>
    </w:p>
    <w:p w14:paraId="0DF6E4C7" w14:textId="77777777" w:rsidR="005803AC" w:rsidRPr="00AA160C" w:rsidRDefault="005803AC" w:rsidP="00B40814">
      <w:pPr>
        <w:pStyle w:val="NoSpacing"/>
        <w:spacing w:line="276" w:lineRule="auto"/>
        <w:ind w:left="360"/>
        <w:jc w:val="both"/>
        <w:rPr>
          <w:rFonts w:asciiTheme="minorHAnsi" w:hAnsiTheme="minorHAnsi"/>
          <w:color w:val="auto"/>
          <w:sz w:val="22"/>
          <w:szCs w:val="22"/>
          <w:lang w:val="en-GB"/>
        </w:rPr>
      </w:pPr>
    </w:p>
    <w:p w14:paraId="08815AA8"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Safekeeping and administration of financial instruments for the account of clients, including custody and cash/collateral management;</w:t>
      </w:r>
    </w:p>
    <w:p w14:paraId="657FA709"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Granting credits or loans to an investor to carry out a transaction in financial instruments, where the firm is involved in the transaction;</w:t>
      </w:r>
    </w:p>
    <w:p w14:paraId="6D37F376"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Corporate finance advice;</w:t>
      </w:r>
    </w:p>
    <w:p w14:paraId="1683E4FD"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Foreign exchange services connected to the provision of investment services;</w:t>
      </w:r>
    </w:p>
    <w:p w14:paraId="5CF47FC5" w14:textId="2D5E096F"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Investment research and financial analysis or general recommendations relating to transactions in financial instruments</w:t>
      </w:r>
      <w:r w:rsidR="00F42806">
        <w:rPr>
          <w:rFonts w:asciiTheme="minorHAnsi" w:hAnsiTheme="minorHAnsi"/>
          <w:szCs w:val="22"/>
          <w:lang w:val="en-GB"/>
        </w:rPr>
        <w:t>.</w:t>
      </w:r>
    </w:p>
    <w:p w14:paraId="2AD69BCF" w14:textId="77777777" w:rsidR="00AA160C" w:rsidRPr="00AA160C" w:rsidRDefault="00AA160C" w:rsidP="00B40814">
      <w:pPr>
        <w:pStyle w:val="NoSpacing"/>
        <w:spacing w:line="276" w:lineRule="auto"/>
        <w:ind w:left="360"/>
        <w:jc w:val="both"/>
        <w:rPr>
          <w:rFonts w:asciiTheme="minorHAnsi" w:hAnsiTheme="minorHAnsi"/>
          <w:color w:val="auto"/>
          <w:sz w:val="22"/>
          <w:szCs w:val="22"/>
          <w:lang w:val="en-GB"/>
        </w:rPr>
      </w:pPr>
    </w:p>
    <w:p w14:paraId="0624159E" w14:textId="2ADC5E37" w:rsidR="00AA160C" w:rsidRPr="00AA160C" w:rsidRDefault="00AA160C" w:rsidP="00B40814">
      <w:pPr>
        <w:pStyle w:val="NoSpacing"/>
        <w:spacing w:line="276" w:lineRule="auto"/>
        <w:ind w:left="360"/>
        <w:jc w:val="both"/>
        <w:rPr>
          <w:rFonts w:asciiTheme="minorHAnsi" w:hAnsiTheme="minorHAnsi"/>
          <w:color w:val="auto"/>
          <w:sz w:val="22"/>
          <w:szCs w:val="22"/>
          <w:lang w:val="en-GB"/>
        </w:rPr>
      </w:pPr>
      <w:r w:rsidRPr="00AA160C">
        <w:rPr>
          <w:rFonts w:asciiTheme="minorHAnsi" w:hAnsiTheme="minorHAnsi"/>
          <w:color w:val="auto"/>
          <w:sz w:val="22"/>
          <w:szCs w:val="22"/>
          <w:lang w:val="en-GB"/>
        </w:rPr>
        <w:t xml:space="preserve">Firms that are in scope for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II will therefore include dealing platforms, stock brokers, advisers, wealth managers and discretionary and non-discretionary portfolio managers, and banks (in relation to certain services provided to their clients).</w:t>
      </w:r>
    </w:p>
    <w:p w14:paraId="315DF177" w14:textId="77777777" w:rsidR="00AA160C" w:rsidRPr="00AA160C" w:rsidRDefault="00AA160C" w:rsidP="00B40814">
      <w:pPr>
        <w:pStyle w:val="NoSpacing"/>
        <w:spacing w:line="276" w:lineRule="auto"/>
        <w:ind w:left="360"/>
        <w:jc w:val="both"/>
        <w:rPr>
          <w:rFonts w:asciiTheme="minorHAnsi" w:hAnsiTheme="minorHAnsi"/>
          <w:color w:val="auto"/>
          <w:sz w:val="22"/>
          <w:szCs w:val="22"/>
          <w:lang w:val="en-GB"/>
        </w:rPr>
      </w:pPr>
    </w:p>
    <w:p w14:paraId="7C053C5E" w14:textId="0CE23C04" w:rsidR="00AA160C" w:rsidRDefault="00AA160C" w:rsidP="00B40814">
      <w:pPr>
        <w:pStyle w:val="NoSpacing"/>
        <w:spacing w:line="276" w:lineRule="auto"/>
        <w:ind w:left="360"/>
        <w:jc w:val="both"/>
        <w:rPr>
          <w:rFonts w:asciiTheme="minorHAnsi" w:hAnsiTheme="minorHAnsi"/>
          <w:color w:val="auto"/>
          <w:sz w:val="22"/>
          <w:szCs w:val="22"/>
          <w:lang w:val="en-GB"/>
        </w:rPr>
      </w:pPr>
      <w:r w:rsidRPr="00AA160C">
        <w:rPr>
          <w:rFonts w:asciiTheme="minorHAnsi" w:hAnsiTheme="minorHAnsi"/>
          <w:color w:val="auto"/>
          <w:sz w:val="22"/>
          <w:szCs w:val="22"/>
          <w:lang w:val="en-GB"/>
        </w:rPr>
        <w:t xml:space="preserve">Types of business that are generally exempt from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(except to the extent that they also carry on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activities) include:</w:t>
      </w:r>
    </w:p>
    <w:p w14:paraId="53B36768" w14:textId="77777777" w:rsidR="005803AC" w:rsidRPr="00AA160C" w:rsidRDefault="005803AC" w:rsidP="00B40814">
      <w:pPr>
        <w:pStyle w:val="NoSpacing"/>
        <w:spacing w:line="276" w:lineRule="auto"/>
        <w:ind w:left="360"/>
        <w:jc w:val="both"/>
        <w:rPr>
          <w:rFonts w:asciiTheme="minorHAnsi" w:hAnsiTheme="minorHAnsi"/>
          <w:color w:val="auto"/>
          <w:sz w:val="22"/>
          <w:szCs w:val="22"/>
          <w:lang w:val="en-GB"/>
        </w:rPr>
      </w:pPr>
    </w:p>
    <w:p w14:paraId="6FE9CFB1"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Insurers</w:t>
      </w:r>
    </w:p>
    <w:p w14:paraId="77D1A8B7"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UCITS funds and UCITS managers</w:t>
      </w:r>
    </w:p>
    <w:p w14:paraId="41427894"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AIFs and AIF managers</w:t>
      </w:r>
    </w:p>
    <w:p w14:paraId="2E18A899"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Pension funds and pension scheme operators</w:t>
      </w:r>
    </w:p>
    <w:p w14:paraId="0308BF77" w14:textId="5E252C69"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 xml:space="preserve">Banks (in relation to banking activities that are not </w:t>
      </w:r>
      <w:r w:rsidR="00CC523E">
        <w:rPr>
          <w:rFonts w:asciiTheme="minorHAnsi" w:hAnsiTheme="minorHAnsi"/>
          <w:szCs w:val="22"/>
          <w:lang w:val="en-GB"/>
        </w:rPr>
        <w:t>MIFID</w:t>
      </w:r>
      <w:r w:rsidRPr="00AA160C">
        <w:rPr>
          <w:rFonts w:asciiTheme="minorHAnsi" w:hAnsiTheme="minorHAnsi"/>
          <w:szCs w:val="22"/>
          <w:lang w:val="en-GB"/>
        </w:rPr>
        <w:t xml:space="preserve"> activities).</w:t>
      </w:r>
    </w:p>
    <w:p w14:paraId="01A5EF75" w14:textId="77777777" w:rsidR="00AA160C" w:rsidRPr="006F3EFC" w:rsidRDefault="00AA160C" w:rsidP="00B40814">
      <w:pPr>
        <w:autoSpaceDE w:val="0"/>
        <w:autoSpaceDN w:val="0"/>
        <w:adjustRightInd w:val="0"/>
        <w:spacing w:line="276" w:lineRule="auto"/>
        <w:ind w:left="1440"/>
        <w:jc w:val="both"/>
        <w:rPr>
          <w:rFonts w:asciiTheme="minorHAnsi" w:hAnsiTheme="minorHAnsi"/>
          <w:szCs w:val="22"/>
          <w:lang w:val="en-GB"/>
        </w:rPr>
      </w:pPr>
    </w:p>
    <w:p w14:paraId="55E009F6" w14:textId="63726150" w:rsidR="00AA160C" w:rsidRDefault="00AA160C" w:rsidP="00B40814">
      <w:pPr>
        <w:pStyle w:val="NoSpacing"/>
        <w:spacing w:line="276" w:lineRule="auto"/>
        <w:ind w:left="360"/>
        <w:jc w:val="both"/>
        <w:rPr>
          <w:rFonts w:asciiTheme="minorHAnsi" w:hAnsiTheme="minorHAnsi"/>
          <w:color w:val="auto"/>
          <w:sz w:val="22"/>
          <w:szCs w:val="22"/>
          <w:lang w:val="en-GB"/>
        </w:rPr>
      </w:pPr>
      <w:r w:rsidRPr="00AA160C">
        <w:rPr>
          <w:rFonts w:asciiTheme="minorHAnsi" w:hAnsiTheme="minorHAnsi"/>
          <w:color w:val="auto"/>
          <w:sz w:val="22"/>
          <w:szCs w:val="22"/>
          <w:lang w:val="en-GB"/>
        </w:rPr>
        <w:t xml:space="preserve">To be in scope of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II, firms’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investment services and activities must be provided to clients in relation to ‘financial instruments’, which include:</w:t>
      </w:r>
    </w:p>
    <w:p w14:paraId="2492D4B4" w14:textId="77777777" w:rsidR="005803AC" w:rsidRPr="00AA160C" w:rsidRDefault="005803AC" w:rsidP="00B40814">
      <w:pPr>
        <w:pStyle w:val="NoSpacing"/>
        <w:spacing w:line="276" w:lineRule="auto"/>
        <w:ind w:left="360"/>
        <w:jc w:val="both"/>
        <w:rPr>
          <w:rFonts w:asciiTheme="minorHAnsi" w:hAnsiTheme="minorHAnsi"/>
          <w:color w:val="auto"/>
          <w:sz w:val="22"/>
          <w:szCs w:val="22"/>
          <w:lang w:val="en-GB"/>
        </w:rPr>
      </w:pPr>
    </w:p>
    <w:p w14:paraId="0EEB0485"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lastRenderedPageBreak/>
        <w:t>Transferable securities (securities which are negotiable on the capital market, including shares and bonds);</w:t>
      </w:r>
    </w:p>
    <w:p w14:paraId="69192719"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Money-market instruments;</w:t>
      </w:r>
    </w:p>
    <w:p w14:paraId="04FDE08C"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Units in collective investment undertakings (pooled funds including OEICs, unit trusts and investment trusts);</w:t>
      </w:r>
    </w:p>
    <w:p w14:paraId="1A9C1502" w14:textId="77777777" w:rsidR="00AA160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Options, futures, swaps and other derivatives</w:t>
      </w:r>
    </w:p>
    <w:p w14:paraId="52D6C5A1" w14:textId="34BF61E3" w:rsidR="00F1335C" w:rsidRPr="00AA160C" w:rsidRDefault="00AA160C" w:rsidP="00B40814">
      <w:pPr>
        <w:pStyle w:val="ListParagraph"/>
        <w:numPr>
          <w:ilvl w:val="0"/>
          <w:numId w:val="2"/>
        </w:numPr>
        <w:autoSpaceDE w:val="0"/>
        <w:autoSpaceDN w:val="0"/>
        <w:adjustRightInd w:val="0"/>
        <w:spacing w:line="276" w:lineRule="auto"/>
        <w:ind w:left="1080"/>
        <w:contextualSpacing w:val="0"/>
        <w:jc w:val="both"/>
        <w:rPr>
          <w:rFonts w:asciiTheme="minorHAnsi" w:hAnsiTheme="minorHAnsi"/>
          <w:szCs w:val="22"/>
          <w:lang w:val="en-GB"/>
        </w:rPr>
      </w:pPr>
      <w:r w:rsidRPr="00AA160C">
        <w:rPr>
          <w:rFonts w:asciiTheme="minorHAnsi" w:hAnsiTheme="minorHAnsi"/>
          <w:szCs w:val="22"/>
          <w:lang w:val="en-GB"/>
        </w:rPr>
        <w:t>Contracts for differences</w:t>
      </w:r>
      <w:r w:rsidR="00742DBF">
        <w:rPr>
          <w:rFonts w:asciiTheme="minorHAnsi" w:hAnsiTheme="minorHAnsi"/>
          <w:szCs w:val="22"/>
          <w:lang w:val="en-GB"/>
        </w:rPr>
        <w:t>.</w:t>
      </w:r>
    </w:p>
    <w:p w14:paraId="27961CAB" w14:textId="77777777" w:rsidR="00AA160C" w:rsidRPr="00E319A8" w:rsidRDefault="00AA160C" w:rsidP="00E319A8">
      <w:pPr>
        <w:pStyle w:val="ListParagraph"/>
        <w:autoSpaceDE w:val="0"/>
        <w:autoSpaceDN w:val="0"/>
        <w:adjustRightInd w:val="0"/>
        <w:spacing w:line="276" w:lineRule="auto"/>
        <w:ind w:left="1080"/>
        <w:contextualSpacing w:val="0"/>
        <w:jc w:val="both"/>
        <w:rPr>
          <w:rFonts w:asciiTheme="minorHAnsi" w:hAnsiTheme="minorHAnsi"/>
          <w:szCs w:val="22"/>
          <w:lang w:val="en-GB"/>
        </w:rPr>
      </w:pPr>
    </w:p>
    <w:p w14:paraId="44D6957A" w14:textId="3B577C39" w:rsidR="00AA160C" w:rsidRPr="006F3EFC" w:rsidRDefault="00AA160C" w:rsidP="00E319A8">
      <w:pPr>
        <w:pStyle w:val="Heading2"/>
        <w:spacing w:before="0" w:line="276" w:lineRule="auto"/>
        <w:rPr>
          <w:rFonts w:asciiTheme="minorHAnsi" w:hAnsiTheme="minorHAnsi"/>
        </w:rPr>
      </w:pPr>
      <w:bookmarkStart w:id="81" w:name="_Toc364001865"/>
      <w:bookmarkStart w:id="82" w:name="_Toc364343116"/>
      <w:bookmarkStart w:id="83" w:name="_Toc364343303"/>
      <w:bookmarkStart w:id="84" w:name="_Toc364343662"/>
      <w:bookmarkStart w:id="85" w:name="_Toc364635726"/>
      <w:bookmarkStart w:id="86" w:name="_Toc364636118"/>
      <w:bookmarkStart w:id="87" w:name="_Toc364636554"/>
      <w:bookmarkStart w:id="88" w:name="_Toc366502055"/>
      <w:bookmarkStart w:id="89" w:name="_Toc369907834"/>
      <w:bookmarkStart w:id="90" w:name="_Toc370052352"/>
      <w:bookmarkStart w:id="91" w:name="_Toc372234500"/>
      <w:bookmarkStart w:id="92" w:name="_Toc395871028"/>
      <w:bookmarkStart w:id="93" w:name="_Toc409468195"/>
      <w:r w:rsidRPr="006F3EFC">
        <w:rPr>
          <w:rFonts w:asciiTheme="minorHAnsi" w:hAnsiTheme="minorHAnsi"/>
        </w:rPr>
        <w:t xml:space="preserve">Scope of </w:t>
      </w:r>
      <w:r w:rsidR="00CC523E" w:rsidRPr="006F3EFC">
        <w:rPr>
          <w:rFonts w:asciiTheme="minorHAnsi" w:hAnsiTheme="minorHAnsi"/>
        </w:rPr>
        <w:t>MiFID</w:t>
      </w:r>
      <w:r w:rsidRPr="006F3EFC">
        <w:rPr>
          <w:rFonts w:asciiTheme="minorHAnsi" w:hAnsiTheme="minorHAnsi"/>
        </w:rPr>
        <w:t xml:space="preserve"> II Cost</w:t>
      </w:r>
      <w:r w:rsidR="00A85DC2">
        <w:rPr>
          <w:rFonts w:asciiTheme="minorHAnsi" w:hAnsiTheme="minorHAnsi"/>
        </w:rPr>
        <w:t>s</w:t>
      </w:r>
      <w:r w:rsidRPr="006F3EFC">
        <w:rPr>
          <w:rFonts w:asciiTheme="minorHAnsi" w:hAnsiTheme="minorHAnsi"/>
        </w:rPr>
        <w:t xml:space="preserve"> &amp; Charges</w:t>
      </w:r>
      <w:bookmarkEnd w:id="81"/>
      <w:bookmarkEnd w:id="82"/>
      <w:bookmarkEnd w:id="83"/>
      <w:bookmarkEnd w:id="84"/>
      <w:bookmarkEnd w:id="85"/>
      <w:bookmarkEnd w:id="86"/>
      <w:bookmarkEnd w:id="87"/>
      <w:r w:rsidR="00F51302">
        <w:rPr>
          <w:rFonts w:asciiTheme="minorHAnsi" w:hAnsiTheme="minorHAnsi"/>
        </w:rPr>
        <w:t xml:space="preserve"> Provisions</w:t>
      </w:r>
      <w:bookmarkEnd w:id="88"/>
      <w:bookmarkEnd w:id="89"/>
      <w:bookmarkEnd w:id="90"/>
      <w:bookmarkEnd w:id="91"/>
      <w:bookmarkEnd w:id="92"/>
      <w:bookmarkEnd w:id="93"/>
      <w:r w:rsidRPr="006F3EFC">
        <w:rPr>
          <w:rFonts w:asciiTheme="minorHAnsi" w:hAnsiTheme="minorHAnsi"/>
        </w:rPr>
        <w:t xml:space="preserve"> </w:t>
      </w:r>
    </w:p>
    <w:p w14:paraId="77313C7D" w14:textId="77777777" w:rsidR="00AA160C" w:rsidRPr="00AA160C" w:rsidRDefault="00AA160C" w:rsidP="00E319A8">
      <w:pPr>
        <w:spacing w:line="276" w:lineRule="auto"/>
        <w:ind w:left="0"/>
        <w:jc w:val="both"/>
        <w:rPr>
          <w:rFonts w:asciiTheme="minorHAnsi" w:hAnsiTheme="minorHAnsi"/>
          <w:szCs w:val="22"/>
        </w:rPr>
      </w:pPr>
    </w:p>
    <w:p w14:paraId="36EA7914" w14:textId="7D9D0F3F" w:rsidR="00AA160C" w:rsidRDefault="00AA160C" w:rsidP="00E319A8">
      <w:pPr>
        <w:spacing w:line="276" w:lineRule="auto"/>
        <w:ind w:left="360"/>
        <w:jc w:val="both"/>
        <w:rPr>
          <w:rFonts w:asciiTheme="minorHAnsi" w:hAnsiTheme="minorHAnsi"/>
          <w:szCs w:val="22"/>
        </w:rPr>
      </w:pPr>
      <w:r w:rsidRPr="006F3EFC">
        <w:rPr>
          <w:rFonts w:asciiTheme="minorHAnsi" w:hAnsiTheme="minorHAnsi"/>
          <w:szCs w:val="22"/>
        </w:rPr>
        <w:t xml:space="preserve">The relevant </w:t>
      </w:r>
      <w:r w:rsidR="00CC523E" w:rsidRPr="006F3EFC">
        <w:rPr>
          <w:rFonts w:asciiTheme="minorHAnsi" w:hAnsiTheme="minorHAnsi"/>
          <w:szCs w:val="22"/>
        </w:rPr>
        <w:t>MIFID</w:t>
      </w:r>
      <w:r w:rsidRPr="006F3EFC">
        <w:rPr>
          <w:rFonts w:asciiTheme="minorHAnsi" w:hAnsiTheme="minorHAnsi"/>
          <w:szCs w:val="22"/>
        </w:rPr>
        <w:t xml:space="preserve"> II provisions covered in this guide</w:t>
      </w:r>
      <w:r w:rsidR="0089668F">
        <w:rPr>
          <w:rFonts w:asciiTheme="minorHAnsi" w:hAnsiTheme="minorHAnsi"/>
          <w:szCs w:val="22"/>
        </w:rPr>
        <w:t xml:space="preserve"> are:</w:t>
      </w:r>
    </w:p>
    <w:p w14:paraId="4064FF25" w14:textId="77777777" w:rsidR="0089668F" w:rsidRPr="006F3EFC" w:rsidRDefault="0089668F" w:rsidP="00331B33">
      <w:pPr>
        <w:spacing w:line="276" w:lineRule="auto"/>
        <w:ind w:left="360"/>
        <w:jc w:val="both"/>
        <w:rPr>
          <w:rFonts w:asciiTheme="minorHAnsi" w:hAnsiTheme="minorHAnsi"/>
          <w:szCs w:val="22"/>
        </w:rPr>
      </w:pPr>
    </w:p>
    <w:p w14:paraId="5C33BCDF" w14:textId="2E5F2DF0" w:rsidR="00AA160C" w:rsidRPr="00AA160C" w:rsidRDefault="00AA160C" w:rsidP="00331B33">
      <w:pPr>
        <w:pStyle w:val="ListParagraph"/>
        <w:numPr>
          <w:ilvl w:val="0"/>
          <w:numId w:val="2"/>
        </w:numPr>
        <w:autoSpaceDE w:val="0"/>
        <w:autoSpaceDN w:val="0"/>
        <w:adjustRightInd w:val="0"/>
        <w:spacing w:line="276" w:lineRule="auto"/>
        <w:contextualSpacing w:val="0"/>
        <w:jc w:val="both"/>
        <w:rPr>
          <w:rFonts w:asciiTheme="minorHAnsi" w:hAnsiTheme="minorHAnsi"/>
          <w:szCs w:val="22"/>
          <w:lang w:val="en-GB"/>
        </w:rPr>
      </w:pPr>
      <w:r w:rsidRPr="00AA160C">
        <w:rPr>
          <w:rFonts w:asciiTheme="minorHAnsi" w:hAnsiTheme="minorHAnsi"/>
          <w:szCs w:val="22"/>
          <w:lang w:val="en-GB"/>
        </w:rPr>
        <w:t xml:space="preserve">Article 24 of </w:t>
      </w:r>
      <w:r w:rsidR="00CC523E">
        <w:rPr>
          <w:rFonts w:asciiTheme="minorHAnsi" w:hAnsiTheme="minorHAnsi"/>
          <w:szCs w:val="22"/>
          <w:lang w:val="en-GB"/>
        </w:rPr>
        <w:t>MiFID</w:t>
      </w:r>
      <w:r w:rsidRPr="00AA160C">
        <w:rPr>
          <w:rFonts w:asciiTheme="minorHAnsi" w:hAnsiTheme="minorHAnsi"/>
          <w:szCs w:val="22"/>
          <w:lang w:val="en-GB"/>
        </w:rPr>
        <w:t xml:space="preserve"> II </w:t>
      </w:r>
      <w:r w:rsidR="00A85DC2">
        <w:rPr>
          <w:rFonts w:asciiTheme="minorHAnsi" w:hAnsiTheme="minorHAnsi"/>
          <w:szCs w:val="22"/>
          <w:lang w:val="en-GB"/>
        </w:rPr>
        <w:t>D</w:t>
      </w:r>
      <w:r w:rsidRPr="00AA160C">
        <w:rPr>
          <w:rFonts w:asciiTheme="minorHAnsi" w:hAnsiTheme="minorHAnsi"/>
          <w:szCs w:val="22"/>
          <w:lang w:val="en-GB"/>
        </w:rPr>
        <w:t>irective 2014/65/EU</w:t>
      </w:r>
      <w:r w:rsidR="005803AC">
        <w:rPr>
          <w:rStyle w:val="FootnoteReference"/>
          <w:rFonts w:asciiTheme="minorHAnsi" w:hAnsiTheme="minorHAnsi"/>
          <w:szCs w:val="22"/>
          <w:lang w:val="en-GB"/>
        </w:rPr>
        <w:footnoteReference w:id="10"/>
      </w:r>
      <w:r w:rsidRPr="00AA160C">
        <w:rPr>
          <w:rFonts w:asciiTheme="minorHAnsi" w:hAnsiTheme="minorHAnsi"/>
          <w:szCs w:val="22"/>
          <w:lang w:val="en-GB"/>
        </w:rPr>
        <w:t xml:space="preserve"> of the European Parliament and of the </w:t>
      </w:r>
      <w:r w:rsidR="004C1176" w:rsidRPr="00AA160C">
        <w:rPr>
          <w:rFonts w:asciiTheme="minorHAnsi" w:hAnsiTheme="minorHAnsi"/>
          <w:szCs w:val="22"/>
          <w:lang w:val="en-GB"/>
        </w:rPr>
        <w:t>Council of</w:t>
      </w:r>
      <w:r w:rsidRPr="00AA160C">
        <w:rPr>
          <w:rFonts w:asciiTheme="minorHAnsi" w:hAnsiTheme="minorHAnsi"/>
          <w:szCs w:val="22"/>
          <w:lang w:val="en-GB"/>
        </w:rPr>
        <w:t xml:space="preserve"> 15 May 2014</w:t>
      </w:r>
      <w:r w:rsidR="000E5A68">
        <w:rPr>
          <w:rFonts w:asciiTheme="minorHAnsi" w:hAnsiTheme="minorHAnsi"/>
          <w:szCs w:val="22"/>
          <w:lang w:val="en-GB"/>
        </w:rPr>
        <w:t xml:space="preserve"> (MiFID II)</w:t>
      </w:r>
    </w:p>
    <w:p w14:paraId="47E1913A" w14:textId="1B284CA8" w:rsidR="00AA160C" w:rsidRPr="00AA160C" w:rsidRDefault="00AA160C" w:rsidP="00331B33">
      <w:pPr>
        <w:pStyle w:val="ListParagraph"/>
        <w:numPr>
          <w:ilvl w:val="0"/>
          <w:numId w:val="2"/>
        </w:numPr>
        <w:autoSpaceDE w:val="0"/>
        <w:autoSpaceDN w:val="0"/>
        <w:adjustRightInd w:val="0"/>
        <w:spacing w:line="276" w:lineRule="auto"/>
        <w:contextualSpacing w:val="0"/>
        <w:jc w:val="both"/>
        <w:rPr>
          <w:rFonts w:asciiTheme="minorHAnsi" w:hAnsiTheme="minorHAnsi"/>
          <w:szCs w:val="22"/>
          <w:lang w:val="en-GB"/>
        </w:rPr>
      </w:pPr>
      <w:r w:rsidRPr="00AA160C">
        <w:rPr>
          <w:rFonts w:asciiTheme="minorHAnsi" w:hAnsiTheme="minorHAnsi"/>
          <w:szCs w:val="22"/>
          <w:lang w:val="en-GB"/>
        </w:rPr>
        <w:t>Recital</w:t>
      </w:r>
      <w:r w:rsidR="00C9615B">
        <w:rPr>
          <w:rFonts w:asciiTheme="minorHAnsi" w:hAnsiTheme="minorHAnsi"/>
          <w:szCs w:val="22"/>
          <w:lang w:val="en-GB"/>
        </w:rPr>
        <w:t>s</w:t>
      </w:r>
      <w:r w:rsidRPr="00AA160C">
        <w:rPr>
          <w:rFonts w:asciiTheme="minorHAnsi" w:hAnsiTheme="minorHAnsi"/>
          <w:szCs w:val="22"/>
          <w:lang w:val="en-GB"/>
        </w:rPr>
        <w:t xml:space="preserve"> 74 to 83 and Article</w:t>
      </w:r>
      <w:r w:rsidR="00683D5C">
        <w:rPr>
          <w:rFonts w:asciiTheme="minorHAnsi" w:hAnsiTheme="minorHAnsi"/>
          <w:szCs w:val="22"/>
          <w:lang w:val="en-GB"/>
        </w:rPr>
        <w:t>s</w:t>
      </w:r>
      <w:r w:rsidRPr="00AA160C">
        <w:rPr>
          <w:rFonts w:asciiTheme="minorHAnsi" w:hAnsiTheme="minorHAnsi"/>
          <w:szCs w:val="22"/>
          <w:lang w:val="en-GB"/>
        </w:rPr>
        <w:t xml:space="preserve"> 50</w:t>
      </w:r>
      <w:r w:rsidR="00E33073">
        <w:rPr>
          <w:rFonts w:asciiTheme="minorHAnsi" w:hAnsiTheme="minorHAnsi"/>
          <w:szCs w:val="22"/>
          <w:lang w:val="en-GB"/>
        </w:rPr>
        <w:t xml:space="preserve"> and </w:t>
      </w:r>
      <w:r w:rsidRPr="00AA160C">
        <w:rPr>
          <w:rFonts w:asciiTheme="minorHAnsi" w:hAnsiTheme="minorHAnsi"/>
          <w:szCs w:val="22"/>
          <w:lang w:val="en-GB"/>
        </w:rPr>
        <w:t>51</w:t>
      </w:r>
      <w:r w:rsidR="00683D5C">
        <w:rPr>
          <w:rFonts w:asciiTheme="minorHAnsi" w:hAnsiTheme="minorHAnsi"/>
          <w:szCs w:val="22"/>
          <w:lang w:val="en-GB"/>
        </w:rPr>
        <w:t xml:space="preserve"> </w:t>
      </w:r>
      <w:r w:rsidRPr="00AA160C">
        <w:rPr>
          <w:rFonts w:asciiTheme="minorHAnsi" w:hAnsiTheme="minorHAnsi"/>
          <w:szCs w:val="22"/>
          <w:lang w:val="en-GB"/>
        </w:rPr>
        <w:t xml:space="preserve">of </w:t>
      </w:r>
      <w:r w:rsidR="005803AC">
        <w:rPr>
          <w:rFonts w:asciiTheme="minorHAnsi" w:hAnsiTheme="minorHAnsi"/>
          <w:szCs w:val="22"/>
          <w:lang w:val="en-GB"/>
        </w:rPr>
        <w:t>the MIFID II</w:t>
      </w:r>
      <w:r w:rsidR="005803AC" w:rsidRPr="00AA160C">
        <w:rPr>
          <w:rFonts w:asciiTheme="minorHAnsi" w:hAnsiTheme="minorHAnsi"/>
          <w:szCs w:val="22"/>
          <w:lang w:val="en-GB"/>
        </w:rPr>
        <w:t xml:space="preserve"> </w:t>
      </w:r>
      <w:r w:rsidRPr="00AA160C">
        <w:rPr>
          <w:rFonts w:asciiTheme="minorHAnsi" w:hAnsiTheme="minorHAnsi"/>
          <w:szCs w:val="22"/>
          <w:lang w:val="en-GB"/>
        </w:rPr>
        <w:t>Delegated Regulation</w:t>
      </w:r>
      <w:r w:rsidR="005803AC">
        <w:rPr>
          <w:rStyle w:val="FootnoteReference"/>
          <w:rFonts w:asciiTheme="minorHAnsi" w:hAnsiTheme="minorHAnsi"/>
          <w:szCs w:val="22"/>
          <w:lang w:val="en-GB"/>
        </w:rPr>
        <w:footnoteReference w:id="11"/>
      </w:r>
      <w:r w:rsidRPr="00AA160C">
        <w:rPr>
          <w:rFonts w:asciiTheme="minorHAnsi" w:hAnsiTheme="minorHAnsi"/>
          <w:szCs w:val="22"/>
          <w:lang w:val="en-GB"/>
        </w:rPr>
        <w:t xml:space="preserve"> </w:t>
      </w:r>
    </w:p>
    <w:p w14:paraId="338D2C39" w14:textId="7900CBA7" w:rsidR="00AA160C" w:rsidRPr="00AA160C" w:rsidRDefault="00AA160C" w:rsidP="00331B33">
      <w:pPr>
        <w:pStyle w:val="ListParagraph"/>
        <w:numPr>
          <w:ilvl w:val="0"/>
          <w:numId w:val="2"/>
        </w:numPr>
        <w:autoSpaceDE w:val="0"/>
        <w:autoSpaceDN w:val="0"/>
        <w:adjustRightInd w:val="0"/>
        <w:spacing w:line="276" w:lineRule="auto"/>
        <w:contextualSpacing w:val="0"/>
        <w:jc w:val="both"/>
        <w:rPr>
          <w:rFonts w:asciiTheme="minorHAnsi" w:hAnsiTheme="minorHAnsi"/>
          <w:szCs w:val="22"/>
          <w:lang w:val="en-GB"/>
        </w:rPr>
      </w:pPr>
      <w:r w:rsidRPr="00AA160C">
        <w:rPr>
          <w:rFonts w:asciiTheme="minorHAnsi" w:hAnsiTheme="minorHAnsi"/>
          <w:szCs w:val="22"/>
          <w:lang w:val="en-GB"/>
        </w:rPr>
        <w:t xml:space="preserve">Annex II of </w:t>
      </w:r>
      <w:r w:rsidR="005803AC">
        <w:rPr>
          <w:rFonts w:asciiTheme="minorHAnsi" w:hAnsiTheme="minorHAnsi"/>
          <w:szCs w:val="22"/>
          <w:lang w:val="en-GB"/>
        </w:rPr>
        <w:t>the MIFID II</w:t>
      </w:r>
      <w:r w:rsidR="005803AC" w:rsidRPr="00AA160C">
        <w:rPr>
          <w:rFonts w:asciiTheme="minorHAnsi" w:hAnsiTheme="minorHAnsi"/>
          <w:szCs w:val="22"/>
          <w:lang w:val="en-GB"/>
        </w:rPr>
        <w:t xml:space="preserve"> </w:t>
      </w:r>
      <w:r w:rsidRPr="00AA160C">
        <w:rPr>
          <w:rFonts w:asciiTheme="minorHAnsi" w:hAnsiTheme="minorHAnsi"/>
          <w:szCs w:val="22"/>
          <w:lang w:val="en-GB"/>
        </w:rPr>
        <w:t>Delegated Regulation</w:t>
      </w:r>
      <w:r w:rsidR="005803AC">
        <w:rPr>
          <w:rStyle w:val="FootnoteReference"/>
          <w:rFonts w:asciiTheme="minorHAnsi" w:hAnsiTheme="minorHAnsi"/>
          <w:szCs w:val="22"/>
          <w:lang w:val="en-GB"/>
        </w:rPr>
        <w:footnoteReference w:id="12"/>
      </w:r>
    </w:p>
    <w:p w14:paraId="49E64B7E" w14:textId="7C59F517" w:rsidR="00AA160C" w:rsidRPr="00AA160C" w:rsidRDefault="00874A34" w:rsidP="00331B33">
      <w:pPr>
        <w:pStyle w:val="ListParagraph"/>
        <w:numPr>
          <w:ilvl w:val="0"/>
          <w:numId w:val="2"/>
        </w:numPr>
        <w:autoSpaceDE w:val="0"/>
        <w:autoSpaceDN w:val="0"/>
        <w:adjustRightInd w:val="0"/>
        <w:spacing w:line="276" w:lineRule="auto"/>
        <w:contextualSpacing w:val="0"/>
        <w:jc w:val="both"/>
        <w:rPr>
          <w:rFonts w:asciiTheme="minorHAnsi" w:hAnsiTheme="minorHAnsi"/>
          <w:szCs w:val="22"/>
          <w:lang w:val="en-GB"/>
        </w:rPr>
      </w:pPr>
      <w:r>
        <w:rPr>
          <w:rFonts w:asciiTheme="minorHAnsi" w:hAnsiTheme="minorHAnsi"/>
          <w:szCs w:val="22"/>
          <w:lang w:val="en-GB"/>
        </w:rPr>
        <w:t>ESMA Investor Protection Q&amp;A</w:t>
      </w:r>
      <w:r w:rsidR="008D6CBD">
        <w:rPr>
          <w:rStyle w:val="FootnoteReference"/>
          <w:rFonts w:asciiTheme="minorHAnsi" w:hAnsiTheme="minorHAnsi"/>
          <w:szCs w:val="22"/>
          <w:lang w:val="en-GB"/>
        </w:rPr>
        <w:footnoteReference w:id="13"/>
      </w:r>
    </w:p>
    <w:p w14:paraId="22EAF0E0" w14:textId="692AB8D4" w:rsidR="00AA160C" w:rsidRPr="00AA160C" w:rsidRDefault="00AA160C" w:rsidP="00E319A8">
      <w:pPr>
        <w:pStyle w:val="ListParagraph"/>
        <w:numPr>
          <w:ilvl w:val="0"/>
          <w:numId w:val="2"/>
        </w:numPr>
        <w:autoSpaceDE w:val="0"/>
        <w:autoSpaceDN w:val="0"/>
        <w:adjustRightInd w:val="0"/>
        <w:spacing w:line="276" w:lineRule="auto"/>
        <w:contextualSpacing w:val="0"/>
        <w:jc w:val="both"/>
        <w:rPr>
          <w:rFonts w:asciiTheme="minorHAnsi" w:hAnsiTheme="minorHAnsi"/>
          <w:szCs w:val="22"/>
          <w:lang w:val="en-GB"/>
        </w:rPr>
      </w:pPr>
      <w:r w:rsidRPr="00AA160C">
        <w:rPr>
          <w:rFonts w:asciiTheme="minorHAnsi" w:hAnsiTheme="minorHAnsi"/>
          <w:szCs w:val="22"/>
          <w:lang w:val="en-GB"/>
        </w:rPr>
        <w:t>FCA policy statement PS 17/14 July 2017</w:t>
      </w:r>
      <w:r w:rsidR="005803AC">
        <w:rPr>
          <w:rStyle w:val="FootnoteReference"/>
          <w:rFonts w:asciiTheme="minorHAnsi" w:hAnsiTheme="minorHAnsi"/>
          <w:szCs w:val="22"/>
          <w:lang w:val="en-GB"/>
        </w:rPr>
        <w:footnoteReference w:id="14"/>
      </w:r>
      <w:r w:rsidR="0089668F">
        <w:rPr>
          <w:rFonts w:asciiTheme="minorHAnsi" w:hAnsiTheme="minorHAnsi"/>
          <w:szCs w:val="22"/>
          <w:lang w:val="en-GB"/>
        </w:rPr>
        <w:t>.</w:t>
      </w:r>
    </w:p>
    <w:p w14:paraId="7DAD27C5" w14:textId="77777777" w:rsidR="00F1335C" w:rsidRPr="00E319A8" w:rsidRDefault="00F1335C" w:rsidP="00E319A8">
      <w:pPr>
        <w:spacing w:line="276" w:lineRule="auto"/>
        <w:ind w:left="0"/>
        <w:jc w:val="both"/>
        <w:rPr>
          <w:rFonts w:asciiTheme="minorHAnsi" w:hAnsiTheme="minorHAnsi"/>
          <w:szCs w:val="22"/>
          <w:lang w:val="en-GB"/>
        </w:rPr>
      </w:pPr>
    </w:p>
    <w:p w14:paraId="47BA755B" w14:textId="52E4E18E" w:rsidR="00AA160C" w:rsidRPr="006F3EFC" w:rsidRDefault="00AA160C" w:rsidP="0087645C">
      <w:pPr>
        <w:pStyle w:val="Heading3"/>
        <w:spacing w:before="0" w:line="276" w:lineRule="auto"/>
        <w:ind w:left="567" w:hanging="567"/>
        <w:rPr>
          <w:rFonts w:asciiTheme="minorHAnsi" w:hAnsiTheme="minorHAnsi"/>
          <w:sz w:val="24"/>
          <w:szCs w:val="24"/>
        </w:rPr>
      </w:pPr>
      <w:bookmarkStart w:id="94" w:name="_Toc364001866"/>
      <w:bookmarkStart w:id="95" w:name="_Toc364343117"/>
      <w:bookmarkStart w:id="96" w:name="_Toc364343304"/>
      <w:bookmarkStart w:id="97" w:name="_Toc364343663"/>
      <w:bookmarkStart w:id="98" w:name="_Toc364635727"/>
      <w:bookmarkStart w:id="99" w:name="_Toc364636119"/>
      <w:bookmarkStart w:id="100" w:name="_Toc364636555"/>
      <w:bookmarkStart w:id="101" w:name="_Toc366502056"/>
      <w:bookmarkStart w:id="102" w:name="_Toc369907835"/>
      <w:bookmarkStart w:id="103" w:name="_Toc370052353"/>
      <w:bookmarkStart w:id="104" w:name="_Toc372234501"/>
      <w:bookmarkStart w:id="105" w:name="_Toc395871029"/>
      <w:bookmarkStart w:id="106" w:name="_Toc409468196"/>
      <w:r w:rsidRPr="006F3EFC">
        <w:rPr>
          <w:rFonts w:asciiTheme="minorHAnsi" w:hAnsiTheme="minorHAnsi"/>
          <w:color w:val="auto"/>
          <w:sz w:val="24"/>
          <w:szCs w:val="24"/>
        </w:rPr>
        <w:t>The Cost</w:t>
      </w:r>
      <w:r w:rsidR="00D6278C">
        <w:rPr>
          <w:rFonts w:asciiTheme="minorHAnsi" w:hAnsiTheme="minorHAnsi"/>
          <w:color w:val="auto"/>
          <w:sz w:val="24"/>
          <w:szCs w:val="24"/>
        </w:rPr>
        <w:t>s</w:t>
      </w:r>
      <w:r w:rsidRPr="006F3EFC">
        <w:rPr>
          <w:rFonts w:asciiTheme="minorHAnsi" w:hAnsiTheme="minorHAnsi"/>
          <w:color w:val="auto"/>
          <w:sz w:val="24"/>
          <w:szCs w:val="24"/>
        </w:rPr>
        <w:t xml:space="preserve"> &amp; Charges requirements</w:t>
      </w:r>
      <w:bookmarkStart w:id="107" w:name="_Toc460308523"/>
      <w:bookmarkEnd w:id="94"/>
      <w:bookmarkEnd w:id="95"/>
      <w:bookmarkEnd w:id="96"/>
      <w:bookmarkEnd w:id="97"/>
      <w:bookmarkEnd w:id="98"/>
      <w:bookmarkEnd w:id="99"/>
      <w:bookmarkEnd w:id="100"/>
      <w:bookmarkEnd w:id="101"/>
      <w:bookmarkEnd w:id="102"/>
      <w:bookmarkEnd w:id="103"/>
      <w:bookmarkEnd w:id="104"/>
      <w:bookmarkEnd w:id="105"/>
      <w:bookmarkEnd w:id="106"/>
    </w:p>
    <w:p w14:paraId="1DC78172" w14:textId="77777777" w:rsidR="0089668F" w:rsidRDefault="0089668F" w:rsidP="00AA160C">
      <w:pPr>
        <w:pStyle w:val="NoSpacing"/>
        <w:spacing w:line="276" w:lineRule="auto"/>
        <w:jc w:val="both"/>
        <w:rPr>
          <w:rFonts w:asciiTheme="minorHAnsi" w:hAnsiTheme="minorHAnsi"/>
          <w:color w:val="auto"/>
          <w:sz w:val="22"/>
          <w:szCs w:val="22"/>
          <w:lang w:val="en-GB"/>
        </w:rPr>
      </w:pPr>
    </w:p>
    <w:p w14:paraId="57350E4E" w14:textId="2F952D0D" w:rsidR="00AA160C" w:rsidRPr="00AA160C" w:rsidRDefault="00AA160C" w:rsidP="006B1F90">
      <w:pPr>
        <w:pStyle w:val="NoSpacing"/>
        <w:spacing w:line="276" w:lineRule="auto"/>
        <w:jc w:val="both"/>
        <w:rPr>
          <w:rFonts w:asciiTheme="minorHAnsi" w:hAnsiTheme="minorHAnsi"/>
          <w:color w:val="auto"/>
          <w:sz w:val="22"/>
          <w:szCs w:val="22"/>
          <w:lang w:val="en-GB"/>
        </w:rPr>
      </w:pPr>
      <w:r w:rsidRPr="00AA160C">
        <w:rPr>
          <w:rFonts w:asciiTheme="minorHAnsi" w:hAnsiTheme="minorHAnsi"/>
          <w:color w:val="auto"/>
          <w:sz w:val="22"/>
          <w:szCs w:val="22"/>
          <w:lang w:val="en-GB"/>
        </w:rPr>
        <w:t xml:space="preserve">There are two mandatory Costs </w:t>
      </w:r>
      <w:r w:rsidR="00D6278C">
        <w:rPr>
          <w:rFonts w:asciiTheme="minorHAnsi" w:hAnsiTheme="minorHAnsi"/>
          <w:color w:val="auto"/>
          <w:sz w:val="22"/>
          <w:szCs w:val="22"/>
          <w:lang w:val="en-GB"/>
        </w:rPr>
        <w:t>&amp;</w:t>
      </w:r>
      <w:r w:rsidR="00D6278C" w:rsidRPr="00AA160C">
        <w:rPr>
          <w:rFonts w:asciiTheme="minorHAnsi" w:hAnsiTheme="minorHAnsi"/>
          <w:color w:val="auto"/>
          <w:sz w:val="22"/>
          <w:szCs w:val="22"/>
          <w:lang w:val="en-GB"/>
        </w:rPr>
        <w:t xml:space="preserve"> </w:t>
      </w:r>
      <w:r w:rsidRPr="00AA160C">
        <w:rPr>
          <w:rFonts w:asciiTheme="minorHAnsi" w:hAnsiTheme="minorHAnsi"/>
          <w:color w:val="auto"/>
          <w:sz w:val="22"/>
          <w:szCs w:val="22"/>
          <w:lang w:val="en-GB"/>
        </w:rPr>
        <w:t xml:space="preserve">Charges disclosure requirements applicable for investment firms covered by </w:t>
      </w:r>
      <w:r w:rsidR="00CC523E">
        <w:rPr>
          <w:rFonts w:asciiTheme="minorHAnsi" w:hAnsiTheme="minorHAnsi"/>
          <w:color w:val="auto"/>
          <w:sz w:val="22"/>
          <w:szCs w:val="22"/>
          <w:lang w:val="en-GB"/>
        </w:rPr>
        <w:t>MiFID</w:t>
      </w:r>
      <w:r w:rsidRPr="00AA160C">
        <w:rPr>
          <w:rFonts w:asciiTheme="minorHAnsi" w:hAnsiTheme="minorHAnsi"/>
          <w:color w:val="auto"/>
          <w:sz w:val="22"/>
          <w:szCs w:val="22"/>
          <w:lang w:val="en-GB"/>
        </w:rPr>
        <w:t xml:space="preserve"> II:</w:t>
      </w:r>
    </w:p>
    <w:p w14:paraId="2972B5E8" w14:textId="77777777" w:rsidR="00AA160C" w:rsidRPr="00AA160C" w:rsidRDefault="00AA160C" w:rsidP="00331B33">
      <w:pPr>
        <w:pStyle w:val="NoSpacing"/>
        <w:spacing w:line="276" w:lineRule="auto"/>
        <w:jc w:val="both"/>
        <w:rPr>
          <w:rFonts w:asciiTheme="minorHAnsi" w:hAnsiTheme="minorHAnsi"/>
          <w:color w:val="auto"/>
          <w:sz w:val="22"/>
          <w:szCs w:val="22"/>
          <w:lang w:val="en-GB"/>
        </w:rPr>
      </w:pPr>
    </w:p>
    <w:p w14:paraId="30B94A84" w14:textId="001046FA" w:rsidR="00AA160C" w:rsidRDefault="00AA160C" w:rsidP="006B1F90">
      <w:pPr>
        <w:pStyle w:val="ListParagraph"/>
        <w:numPr>
          <w:ilvl w:val="0"/>
          <w:numId w:val="4"/>
        </w:numPr>
        <w:autoSpaceDE w:val="0"/>
        <w:autoSpaceDN w:val="0"/>
        <w:adjustRightInd w:val="0"/>
        <w:spacing w:line="276" w:lineRule="auto"/>
        <w:ind w:left="714" w:hanging="357"/>
        <w:jc w:val="both"/>
        <w:rPr>
          <w:rFonts w:asciiTheme="minorHAnsi" w:hAnsiTheme="minorHAnsi"/>
          <w:szCs w:val="22"/>
          <w:lang w:val="en-GB"/>
        </w:rPr>
      </w:pPr>
      <w:r w:rsidRPr="00AA160C">
        <w:rPr>
          <w:rFonts w:asciiTheme="minorHAnsi" w:hAnsiTheme="minorHAnsi"/>
          <w:b/>
          <w:szCs w:val="22"/>
          <w:lang w:val="en-GB"/>
        </w:rPr>
        <w:t>Ex-Ante disclosure</w:t>
      </w:r>
      <w:r w:rsidRPr="00AA160C">
        <w:rPr>
          <w:rFonts w:asciiTheme="minorHAnsi" w:hAnsiTheme="minorHAnsi"/>
          <w:szCs w:val="22"/>
          <w:lang w:val="en-GB"/>
        </w:rPr>
        <w:t xml:space="preserve"> of aggregated </w:t>
      </w:r>
      <w:r w:rsidRPr="00AA160C">
        <w:rPr>
          <w:rFonts w:asciiTheme="minorHAnsi" w:hAnsiTheme="minorHAnsi"/>
          <w:i/>
          <w:szCs w:val="22"/>
          <w:lang w:val="en-GB"/>
        </w:rPr>
        <w:t>expected costs</w:t>
      </w:r>
      <w:r w:rsidRPr="00AA160C">
        <w:rPr>
          <w:rFonts w:asciiTheme="minorHAnsi" w:hAnsiTheme="minorHAnsi"/>
          <w:szCs w:val="22"/>
          <w:lang w:val="en-GB"/>
        </w:rPr>
        <w:t xml:space="preserve"> for proposed investment services and financial instruments to be provided </w:t>
      </w:r>
      <w:r w:rsidRPr="00AA160C">
        <w:rPr>
          <w:rFonts w:asciiTheme="minorHAnsi" w:hAnsiTheme="minorHAnsi"/>
          <w:i/>
          <w:szCs w:val="22"/>
          <w:lang w:val="en-GB"/>
        </w:rPr>
        <w:t>in good time</w:t>
      </w:r>
      <w:r w:rsidRPr="00AA160C">
        <w:rPr>
          <w:rFonts w:asciiTheme="minorHAnsi" w:hAnsiTheme="minorHAnsi"/>
          <w:szCs w:val="22"/>
          <w:lang w:val="en-GB"/>
        </w:rPr>
        <w:t xml:space="preserve"> before</w:t>
      </w:r>
      <w:r w:rsidR="00AE6B47">
        <w:rPr>
          <w:rFonts w:asciiTheme="minorHAnsi" w:hAnsiTheme="minorHAnsi"/>
          <w:szCs w:val="22"/>
          <w:lang w:val="en-GB"/>
        </w:rPr>
        <w:t xml:space="preserve"> </w:t>
      </w:r>
      <w:r w:rsidR="004C1176">
        <w:rPr>
          <w:rFonts w:asciiTheme="minorHAnsi" w:hAnsiTheme="minorHAnsi"/>
          <w:szCs w:val="22"/>
          <w:lang w:val="en-GB"/>
        </w:rPr>
        <w:t xml:space="preserve">a </w:t>
      </w:r>
      <w:r w:rsidR="004C1176" w:rsidRPr="00AA160C">
        <w:rPr>
          <w:rFonts w:asciiTheme="minorHAnsi" w:hAnsiTheme="minorHAnsi"/>
          <w:szCs w:val="22"/>
          <w:lang w:val="en-GB"/>
        </w:rPr>
        <w:t>client</w:t>
      </w:r>
      <w:r w:rsidRPr="00AA160C">
        <w:rPr>
          <w:rFonts w:asciiTheme="minorHAnsi" w:hAnsiTheme="minorHAnsi"/>
          <w:szCs w:val="22"/>
          <w:lang w:val="en-GB"/>
        </w:rPr>
        <w:t xml:space="preserve"> makes</w:t>
      </w:r>
      <w:r w:rsidR="00AE6B47">
        <w:rPr>
          <w:rFonts w:asciiTheme="minorHAnsi" w:hAnsiTheme="minorHAnsi"/>
          <w:szCs w:val="22"/>
          <w:lang w:val="en-GB"/>
        </w:rPr>
        <w:t xml:space="preserve"> an</w:t>
      </w:r>
      <w:r w:rsidRPr="00AA160C">
        <w:rPr>
          <w:rFonts w:asciiTheme="minorHAnsi" w:hAnsiTheme="minorHAnsi"/>
          <w:szCs w:val="22"/>
          <w:lang w:val="en-GB"/>
        </w:rPr>
        <w:t xml:space="preserve"> investment decision </w:t>
      </w:r>
      <w:r w:rsidR="00C7524C">
        <w:rPr>
          <w:rFonts w:asciiTheme="minorHAnsi" w:hAnsiTheme="minorHAnsi"/>
          <w:szCs w:val="22"/>
          <w:lang w:val="en-GB"/>
        </w:rPr>
        <w:t>in</w:t>
      </w:r>
      <w:r w:rsidR="00C7524C" w:rsidRPr="00AA160C">
        <w:rPr>
          <w:rFonts w:asciiTheme="minorHAnsi" w:hAnsiTheme="minorHAnsi"/>
          <w:szCs w:val="22"/>
          <w:lang w:val="en-GB"/>
        </w:rPr>
        <w:t xml:space="preserve"> </w:t>
      </w:r>
      <w:r w:rsidRPr="00AA160C">
        <w:rPr>
          <w:rFonts w:asciiTheme="minorHAnsi" w:hAnsiTheme="minorHAnsi"/>
          <w:szCs w:val="22"/>
          <w:lang w:val="en-GB"/>
        </w:rPr>
        <w:t>the following situations:</w:t>
      </w:r>
    </w:p>
    <w:p w14:paraId="5EAC1C48" w14:textId="77777777" w:rsidR="00AE6B47" w:rsidRPr="00AA160C" w:rsidRDefault="00AE6B47" w:rsidP="00331B33">
      <w:pPr>
        <w:pStyle w:val="ListParagraph"/>
        <w:autoSpaceDE w:val="0"/>
        <w:autoSpaceDN w:val="0"/>
        <w:adjustRightInd w:val="0"/>
        <w:spacing w:line="276" w:lineRule="auto"/>
        <w:ind w:left="714"/>
        <w:jc w:val="both"/>
        <w:rPr>
          <w:rFonts w:asciiTheme="minorHAnsi" w:hAnsiTheme="minorHAnsi"/>
          <w:szCs w:val="22"/>
          <w:lang w:val="en-GB"/>
        </w:rPr>
      </w:pPr>
    </w:p>
    <w:p w14:paraId="10175F49" w14:textId="7C275C2D" w:rsidR="00AA160C" w:rsidRPr="006F3EFC" w:rsidRDefault="00AA160C" w:rsidP="00331B33">
      <w:pPr>
        <w:pStyle w:val="ListParagraph"/>
        <w:numPr>
          <w:ilvl w:val="1"/>
          <w:numId w:val="4"/>
        </w:numPr>
        <w:autoSpaceDE w:val="0"/>
        <w:autoSpaceDN w:val="0"/>
        <w:adjustRightInd w:val="0"/>
        <w:spacing w:line="276" w:lineRule="auto"/>
        <w:jc w:val="both"/>
        <w:rPr>
          <w:rFonts w:asciiTheme="minorHAnsi" w:hAnsiTheme="minorHAnsi"/>
          <w:szCs w:val="22"/>
          <w:lang w:val="en-GB"/>
        </w:rPr>
      </w:pPr>
      <w:r w:rsidRPr="00AA160C">
        <w:rPr>
          <w:rFonts w:asciiTheme="minorHAnsi" w:hAnsiTheme="minorHAnsi"/>
          <w:szCs w:val="22"/>
          <w:lang w:val="en-GB"/>
        </w:rPr>
        <w:t>Where the investment firm recommends or markets financial instrument to clients or</w:t>
      </w:r>
    </w:p>
    <w:p w14:paraId="39891589" w14:textId="2E91C86B" w:rsidR="00AA160C" w:rsidRPr="006F3EFC" w:rsidRDefault="00AA160C" w:rsidP="00331B33">
      <w:pPr>
        <w:pStyle w:val="ListParagraph"/>
        <w:numPr>
          <w:ilvl w:val="1"/>
          <w:numId w:val="4"/>
        </w:numPr>
        <w:autoSpaceDE w:val="0"/>
        <w:autoSpaceDN w:val="0"/>
        <w:adjustRightInd w:val="0"/>
        <w:spacing w:line="276" w:lineRule="auto"/>
        <w:jc w:val="both"/>
        <w:rPr>
          <w:rFonts w:asciiTheme="minorHAnsi" w:hAnsiTheme="minorHAnsi"/>
          <w:szCs w:val="22"/>
          <w:lang w:val="en-GB"/>
        </w:rPr>
      </w:pPr>
      <w:r w:rsidRPr="00AA160C">
        <w:rPr>
          <w:rFonts w:asciiTheme="minorHAnsi" w:hAnsiTheme="minorHAnsi"/>
          <w:szCs w:val="22"/>
          <w:lang w:val="en-GB"/>
        </w:rPr>
        <w:t xml:space="preserve">Where the investment firm providing any investment services is required to provide a UCITS KIID or PRIIPS KID </w:t>
      </w:r>
      <w:r w:rsidR="00853C82">
        <w:rPr>
          <w:rFonts w:asciiTheme="minorHAnsi" w:hAnsiTheme="minorHAnsi"/>
          <w:szCs w:val="22"/>
          <w:lang w:val="en-GB"/>
        </w:rPr>
        <w:t xml:space="preserve">to clients </w:t>
      </w:r>
      <w:r w:rsidRPr="00AA160C">
        <w:rPr>
          <w:rFonts w:asciiTheme="minorHAnsi" w:hAnsiTheme="minorHAnsi"/>
          <w:szCs w:val="22"/>
          <w:lang w:val="en-GB"/>
        </w:rPr>
        <w:t>in relation to the financial instrument</w:t>
      </w:r>
      <w:r w:rsidR="00853C82">
        <w:rPr>
          <w:rFonts w:asciiTheme="minorHAnsi" w:hAnsiTheme="minorHAnsi"/>
          <w:szCs w:val="22"/>
          <w:lang w:val="en-GB"/>
        </w:rPr>
        <w:t>.</w:t>
      </w:r>
    </w:p>
    <w:p w14:paraId="2C956F08" w14:textId="77777777" w:rsidR="00853C82" w:rsidRDefault="00853C82" w:rsidP="00331B33">
      <w:pPr>
        <w:autoSpaceDE w:val="0"/>
        <w:autoSpaceDN w:val="0"/>
        <w:adjustRightInd w:val="0"/>
        <w:spacing w:line="276" w:lineRule="auto"/>
        <w:jc w:val="both"/>
        <w:rPr>
          <w:rFonts w:asciiTheme="minorHAnsi" w:hAnsiTheme="minorHAnsi"/>
          <w:szCs w:val="22"/>
          <w:lang w:val="en-GB"/>
        </w:rPr>
      </w:pPr>
    </w:p>
    <w:p w14:paraId="730717CB" w14:textId="271C7C1E" w:rsidR="00AA160C" w:rsidRDefault="00AA160C" w:rsidP="00331B33">
      <w:pPr>
        <w:autoSpaceDE w:val="0"/>
        <w:autoSpaceDN w:val="0"/>
        <w:adjustRightInd w:val="0"/>
        <w:spacing w:line="276" w:lineRule="auto"/>
        <w:jc w:val="both"/>
        <w:rPr>
          <w:rFonts w:asciiTheme="minorHAnsi" w:hAnsiTheme="minorHAnsi"/>
          <w:szCs w:val="22"/>
          <w:lang w:val="en-GB"/>
        </w:rPr>
      </w:pPr>
      <w:r w:rsidRPr="00331B33">
        <w:rPr>
          <w:rFonts w:asciiTheme="minorHAnsi" w:hAnsiTheme="minorHAnsi"/>
          <w:szCs w:val="22"/>
          <w:lang w:val="en-GB"/>
        </w:rPr>
        <w:t xml:space="preserve">Where </w:t>
      </w:r>
      <w:r w:rsidR="00853C82" w:rsidRPr="00331B33">
        <w:rPr>
          <w:rFonts w:asciiTheme="minorHAnsi" w:hAnsiTheme="minorHAnsi"/>
          <w:szCs w:val="22"/>
          <w:lang w:val="en-GB"/>
        </w:rPr>
        <w:t xml:space="preserve">the </w:t>
      </w:r>
      <w:r w:rsidRPr="00331B33">
        <w:rPr>
          <w:rFonts w:asciiTheme="minorHAnsi" w:hAnsiTheme="minorHAnsi"/>
          <w:szCs w:val="22"/>
          <w:lang w:val="en-GB"/>
        </w:rPr>
        <w:t>investment firm do</w:t>
      </w:r>
      <w:r w:rsidR="00853C82" w:rsidRPr="00331B33">
        <w:rPr>
          <w:rFonts w:asciiTheme="minorHAnsi" w:hAnsiTheme="minorHAnsi"/>
          <w:szCs w:val="22"/>
          <w:lang w:val="en-GB"/>
        </w:rPr>
        <w:t>es</w:t>
      </w:r>
      <w:r w:rsidRPr="00331B33">
        <w:rPr>
          <w:rFonts w:asciiTheme="minorHAnsi" w:hAnsiTheme="minorHAnsi"/>
          <w:szCs w:val="22"/>
          <w:lang w:val="en-GB"/>
        </w:rPr>
        <w:t xml:space="preserve"> not recommend or market or provide a KID/KIID they </w:t>
      </w:r>
      <w:r w:rsidR="00853C82" w:rsidRPr="00331B33">
        <w:rPr>
          <w:rFonts w:asciiTheme="minorHAnsi" w:hAnsiTheme="minorHAnsi"/>
          <w:szCs w:val="22"/>
          <w:lang w:val="en-GB"/>
        </w:rPr>
        <w:t>must</w:t>
      </w:r>
      <w:r w:rsidRPr="00331B33">
        <w:rPr>
          <w:rFonts w:asciiTheme="minorHAnsi" w:hAnsiTheme="minorHAnsi"/>
          <w:szCs w:val="22"/>
          <w:lang w:val="en-GB"/>
        </w:rPr>
        <w:t xml:space="preserve"> disclose to</w:t>
      </w:r>
      <w:r w:rsidR="00AE6B47">
        <w:rPr>
          <w:rFonts w:asciiTheme="minorHAnsi" w:hAnsiTheme="minorHAnsi"/>
          <w:szCs w:val="22"/>
          <w:lang w:val="en-GB"/>
        </w:rPr>
        <w:t xml:space="preserve"> the</w:t>
      </w:r>
      <w:r w:rsidRPr="00331B33">
        <w:rPr>
          <w:rFonts w:asciiTheme="minorHAnsi" w:hAnsiTheme="minorHAnsi"/>
          <w:szCs w:val="22"/>
          <w:lang w:val="en-GB"/>
        </w:rPr>
        <w:t xml:space="preserve"> client all costs </w:t>
      </w:r>
      <w:r w:rsidR="00AE6B47">
        <w:rPr>
          <w:rFonts w:asciiTheme="minorHAnsi" w:hAnsiTheme="minorHAnsi"/>
          <w:szCs w:val="22"/>
          <w:lang w:val="en-GB"/>
        </w:rPr>
        <w:t>and</w:t>
      </w:r>
      <w:r w:rsidRPr="00331B33">
        <w:rPr>
          <w:rFonts w:asciiTheme="minorHAnsi" w:hAnsiTheme="minorHAnsi"/>
          <w:szCs w:val="22"/>
          <w:lang w:val="en-GB"/>
        </w:rPr>
        <w:t xml:space="preserve"> charges related to</w:t>
      </w:r>
      <w:r w:rsidR="00853C82">
        <w:rPr>
          <w:rFonts w:asciiTheme="minorHAnsi" w:hAnsiTheme="minorHAnsi"/>
          <w:szCs w:val="22"/>
          <w:lang w:val="en-GB"/>
        </w:rPr>
        <w:t xml:space="preserve"> the</w:t>
      </w:r>
      <w:r w:rsidRPr="00331B33">
        <w:rPr>
          <w:rFonts w:asciiTheme="minorHAnsi" w:hAnsiTheme="minorHAnsi"/>
          <w:szCs w:val="22"/>
          <w:lang w:val="en-GB"/>
        </w:rPr>
        <w:t xml:space="preserve"> service provided</w:t>
      </w:r>
      <w:r w:rsidR="00853C82">
        <w:rPr>
          <w:rFonts w:asciiTheme="minorHAnsi" w:hAnsiTheme="minorHAnsi"/>
          <w:szCs w:val="22"/>
          <w:lang w:val="en-GB"/>
        </w:rPr>
        <w:t>.</w:t>
      </w:r>
    </w:p>
    <w:p w14:paraId="7BD155C7" w14:textId="77777777" w:rsidR="00853C82" w:rsidRPr="00331B33" w:rsidRDefault="00853C82" w:rsidP="00331B33">
      <w:pPr>
        <w:autoSpaceDE w:val="0"/>
        <w:autoSpaceDN w:val="0"/>
        <w:adjustRightInd w:val="0"/>
        <w:spacing w:line="276" w:lineRule="auto"/>
        <w:jc w:val="both"/>
        <w:rPr>
          <w:rFonts w:asciiTheme="minorHAnsi" w:hAnsiTheme="minorHAnsi"/>
          <w:szCs w:val="22"/>
          <w:lang w:val="en-GB"/>
        </w:rPr>
      </w:pPr>
    </w:p>
    <w:p w14:paraId="7228CA18" w14:textId="4930E228" w:rsidR="00AA160C" w:rsidRPr="00331B33" w:rsidRDefault="00853C82" w:rsidP="00331B33">
      <w:pPr>
        <w:autoSpaceDE w:val="0"/>
        <w:autoSpaceDN w:val="0"/>
        <w:adjustRightInd w:val="0"/>
        <w:spacing w:line="276" w:lineRule="auto"/>
        <w:jc w:val="both"/>
        <w:rPr>
          <w:rFonts w:asciiTheme="minorHAnsi" w:hAnsiTheme="minorHAnsi"/>
          <w:szCs w:val="22"/>
          <w:lang w:val="en-GB"/>
        </w:rPr>
      </w:pPr>
      <w:r w:rsidRPr="00331B33">
        <w:rPr>
          <w:rFonts w:asciiTheme="minorHAnsi" w:hAnsiTheme="minorHAnsi"/>
          <w:szCs w:val="22"/>
          <w:lang w:val="en-GB"/>
        </w:rPr>
        <w:lastRenderedPageBreak/>
        <w:t>Whe</w:t>
      </w:r>
      <w:r>
        <w:rPr>
          <w:rFonts w:asciiTheme="minorHAnsi" w:hAnsiTheme="minorHAnsi"/>
          <w:szCs w:val="22"/>
          <w:lang w:val="en-GB"/>
        </w:rPr>
        <w:t>n</w:t>
      </w:r>
      <w:r w:rsidRPr="00331B33">
        <w:rPr>
          <w:rFonts w:asciiTheme="minorHAnsi" w:hAnsiTheme="minorHAnsi"/>
          <w:szCs w:val="22"/>
          <w:lang w:val="en-GB"/>
        </w:rPr>
        <w:t xml:space="preserve"> </w:t>
      </w:r>
      <w:r w:rsidR="00AA160C" w:rsidRPr="00331B33">
        <w:rPr>
          <w:rFonts w:asciiTheme="minorHAnsi" w:hAnsiTheme="minorHAnsi"/>
          <w:szCs w:val="22"/>
          <w:lang w:val="en-GB"/>
        </w:rPr>
        <w:t xml:space="preserve">calculating costs and charges on an </w:t>
      </w:r>
      <w:r>
        <w:rPr>
          <w:rFonts w:asciiTheme="minorHAnsi" w:hAnsiTheme="minorHAnsi"/>
          <w:szCs w:val="22"/>
          <w:lang w:val="en-GB"/>
        </w:rPr>
        <w:t>E</w:t>
      </w:r>
      <w:r w:rsidR="00AA160C" w:rsidRPr="00331B33">
        <w:rPr>
          <w:rFonts w:asciiTheme="minorHAnsi" w:hAnsiTheme="minorHAnsi"/>
          <w:szCs w:val="22"/>
          <w:lang w:val="en-GB"/>
        </w:rPr>
        <w:t>x-</w:t>
      </w:r>
      <w:r>
        <w:rPr>
          <w:rFonts w:asciiTheme="minorHAnsi" w:hAnsiTheme="minorHAnsi"/>
          <w:szCs w:val="22"/>
          <w:lang w:val="en-GB"/>
        </w:rPr>
        <w:t>A</w:t>
      </w:r>
      <w:r w:rsidR="00AA160C" w:rsidRPr="00331B33">
        <w:rPr>
          <w:rFonts w:asciiTheme="minorHAnsi" w:hAnsiTheme="minorHAnsi"/>
          <w:szCs w:val="22"/>
          <w:lang w:val="en-GB"/>
        </w:rPr>
        <w:t xml:space="preserve">nte basis, investment firms shall </w:t>
      </w:r>
      <w:r>
        <w:rPr>
          <w:rFonts w:asciiTheme="minorHAnsi" w:hAnsiTheme="minorHAnsi"/>
          <w:szCs w:val="22"/>
          <w:lang w:val="en-GB"/>
        </w:rPr>
        <w:t xml:space="preserve">base these on </w:t>
      </w:r>
      <w:r w:rsidR="004C1176">
        <w:rPr>
          <w:rFonts w:asciiTheme="minorHAnsi" w:hAnsiTheme="minorHAnsi"/>
          <w:szCs w:val="22"/>
          <w:lang w:val="en-GB"/>
        </w:rPr>
        <w:t>costs that</w:t>
      </w:r>
      <w:r>
        <w:rPr>
          <w:rFonts w:asciiTheme="minorHAnsi" w:hAnsiTheme="minorHAnsi"/>
          <w:szCs w:val="22"/>
          <w:lang w:val="en-GB"/>
        </w:rPr>
        <w:t xml:space="preserve"> have </w:t>
      </w:r>
      <w:r w:rsidR="00AA160C" w:rsidRPr="00BC2339">
        <w:rPr>
          <w:rFonts w:asciiTheme="minorHAnsi" w:hAnsiTheme="minorHAnsi"/>
          <w:i/>
          <w:iCs/>
          <w:szCs w:val="22"/>
          <w:lang w:val="en-GB"/>
        </w:rPr>
        <w:t>actually</w:t>
      </w:r>
      <w:r w:rsidR="00AA160C" w:rsidRPr="00331B33">
        <w:rPr>
          <w:rFonts w:asciiTheme="minorHAnsi" w:hAnsiTheme="minorHAnsi"/>
          <w:szCs w:val="22"/>
          <w:lang w:val="en-GB"/>
        </w:rPr>
        <w:t xml:space="preserve"> </w:t>
      </w:r>
      <w:r>
        <w:rPr>
          <w:rFonts w:asciiTheme="minorHAnsi" w:hAnsiTheme="minorHAnsi"/>
          <w:szCs w:val="22"/>
          <w:lang w:val="en-GB"/>
        </w:rPr>
        <w:t xml:space="preserve">been </w:t>
      </w:r>
      <w:r w:rsidR="00AA160C" w:rsidRPr="00331B33">
        <w:rPr>
          <w:rFonts w:asciiTheme="minorHAnsi" w:hAnsiTheme="minorHAnsi"/>
          <w:szCs w:val="22"/>
          <w:lang w:val="en-GB"/>
        </w:rPr>
        <w:t xml:space="preserve">incurred as a proxy for the expected costs and charges. Where </w:t>
      </w:r>
      <w:r w:rsidR="00AA160C" w:rsidRPr="00BC2339">
        <w:rPr>
          <w:rFonts w:asciiTheme="minorHAnsi" w:hAnsiTheme="minorHAnsi"/>
          <w:i/>
          <w:iCs/>
          <w:szCs w:val="22"/>
          <w:lang w:val="en-GB"/>
        </w:rPr>
        <w:t>actual</w:t>
      </w:r>
      <w:r w:rsidR="00AA160C" w:rsidRPr="00331B33">
        <w:rPr>
          <w:rFonts w:asciiTheme="minorHAnsi" w:hAnsiTheme="minorHAnsi"/>
          <w:szCs w:val="22"/>
          <w:lang w:val="en-GB"/>
        </w:rPr>
        <w:t xml:space="preserve"> costs are not available, the investment firm shall make</w:t>
      </w:r>
      <w:r>
        <w:rPr>
          <w:rFonts w:asciiTheme="minorHAnsi" w:hAnsiTheme="minorHAnsi"/>
          <w:szCs w:val="22"/>
          <w:lang w:val="en-GB"/>
        </w:rPr>
        <w:t xml:space="preserve"> </w:t>
      </w:r>
      <w:r w:rsidR="00AA160C" w:rsidRPr="00BC2339">
        <w:rPr>
          <w:rFonts w:asciiTheme="minorHAnsi" w:hAnsiTheme="minorHAnsi"/>
          <w:i/>
          <w:iCs/>
          <w:szCs w:val="22"/>
          <w:lang w:val="en-GB"/>
        </w:rPr>
        <w:t>reasonable estimations</w:t>
      </w:r>
      <w:r w:rsidR="00AA160C" w:rsidRPr="00331B33">
        <w:rPr>
          <w:rFonts w:asciiTheme="minorHAnsi" w:hAnsiTheme="minorHAnsi"/>
          <w:szCs w:val="22"/>
          <w:lang w:val="en-GB"/>
        </w:rPr>
        <w:t xml:space="preserve"> of these costs.</w:t>
      </w:r>
    </w:p>
    <w:p w14:paraId="58976805" w14:textId="77777777" w:rsidR="00AA160C" w:rsidRPr="006F3EFC" w:rsidRDefault="00AA160C" w:rsidP="00331B33">
      <w:pPr>
        <w:autoSpaceDE w:val="0"/>
        <w:autoSpaceDN w:val="0"/>
        <w:adjustRightInd w:val="0"/>
        <w:spacing w:line="276" w:lineRule="auto"/>
        <w:ind w:left="0"/>
        <w:jc w:val="both"/>
        <w:rPr>
          <w:rFonts w:asciiTheme="minorHAnsi" w:hAnsiTheme="minorHAnsi"/>
          <w:i/>
          <w:szCs w:val="22"/>
          <w:lang w:val="en-GB"/>
        </w:rPr>
      </w:pPr>
    </w:p>
    <w:p w14:paraId="437E68A0" w14:textId="0B7FA4F6" w:rsidR="00AA160C" w:rsidRDefault="00AA160C" w:rsidP="006B1F90">
      <w:pPr>
        <w:pStyle w:val="ListParagraph"/>
        <w:numPr>
          <w:ilvl w:val="0"/>
          <w:numId w:val="4"/>
        </w:numPr>
        <w:autoSpaceDE w:val="0"/>
        <w:autoSpaceDN w:val="0"/>
        <w:adjustRightInd w:val="0"/>
        <w:spacing w:line="276" w:lineRule="auto"/>
        <w:ind w:hanging="357"/>
        <w:jc w:val="both"/>
        <w:rPr>
          <w:rFonts w:asciiTheme="minorHAnsi" w:hAnsiTheme="minorHAnsi"/>
          <w:szCs w:val="22"/>
          <w:lang w:val="en-GB"/>
        </w:rPr>
      </w:pPr>
      <w:r w:rsidRPr="00AA160C">
        <w:rPr>
          <w:rFonts w:asciiTheme="minorHAnsi" w:hAnsiTheme="minorHAnsi"/>
          <w:b/>
          <w:szCs w:val="22"/>
          <w:lang w:val="en-GB"/>
        </w:rPr>
        <w:t>Ex-Post disclosure</w:t>
      </w:r>
      <w:r w:rsidRPr="00AA160C">
        <w:rPr>
          <w:rFonts w:asciiTheme="minorHAnsi" w:hAnsiTheme="minorHAnsi"/>
          <w:szCs w:val="22"/>
          <w:lang w:val="en-GB"/>
        </w:rPr>
        <w:t xml:space="preserve"> of aggregated </w:t>
      </w:r>
      <w:r w:rsidR="008B47B6">
        <w:rPr>
          <w:rFonts w:asciiTheme="minorHAnsi" w:hAnsiTheme="minorHAnsi"/>
          <w:szCs w:val="22"/>
          <w:lang w:val="en-GB"/>
        </w:rPr>
        <w:t xml:space="preserve">costs which have </w:t>
      </w:r>
      <w:r w:rsidRPr="00AA160C">
        <w:rPr>
          <w:rFonts w:asciiTheme="minorHAnsi" w:hAnsiTheme="minorHAnsi"/>
          <w:i/>
          <w:szCs w:val="22"/>
          <w:lang w:val="en-GB"/>
        </w:rPr>
        <w:t xml:space="preserve">actually </w:t>
      </w:r>
      <w:r w:rsidR="008B47B6">
        <w:rPr>
          <w:rFonts w:asciiTheme="minorHAnsi" w:hAnsiTheme="minorHAnsi"/>
          <w:i/>
          <w:szCs w:val="22"/>
          <w:lang w:val="en-GB"/>
        </w:rPr>
        <w:t xml:space="preserve">been </w:t>
      </w:r>
      <w:r w:rsidRPr="00AA160C">
        <w:rPr>
          <w:rFonts w:asciiTheme="minorHAnsi" w:hAnsiTheme="minorHAnsi"/>
          <w:i/>
          <w:szCs w:val="22"/>
          <w:lang w:val="en-GB"/>
        </w:rPr>
        <w:t xml:space="preserve">incurred </w:t>
      </w:r>
      <w:r w:rsidRPr="00AA160C">
        <w:rPr>
          <w:rFonts w:asciiTheme="minorHAnsi" w:hAnsiTheme="minorHAnsi"/>
          <w:szCs w:val="22"/>
          <w:lang w:val="en-GB"/>
        </w:rPr>
        <w:t xml:space="preserve">for investment services and financial instruments, </w:t>
      </w:r>
      <w:r w:rsidR="008B47B6">
        <w:rPr>
          <w:rFonts w:asciiTheme="minorHAnsi" w:hAnsiTheme="minorHAnsi"/>
          <w:szCs w:val="22"/>
          <w:lang w:val="en-GB"/>
        </w:rPr>
        <w:t>m</w:t>
      </w:r>
      <w:r w:rsidR="00AE6B47">
        <w:rPr>
          <w:rFonts w:asciiTheme="minorHAnsi" w:hAnsiTheme="minorHAnsi"/>
          <w:szCs w:val="22"/>
          <w:lang w:val="en-GB"/>
        </w:rPr>
        <w:t>ust</w:t>
      </w:r>
      <w:r w:rsidR="008B47B6" w:rsidRPr="00AA160C">
        <w:rPr>
          <w:rFonts w:asciiTheme="minorHAnsi" w:hAnsiTheme="minorHAnsi"/>
          <w:szCs w:val="22"/>
          <w:lang w:val="en-GB"/>
        </w:rPr>
        <w:t xml:space="preserve"> </w:t>
      </w:r>
      <w:r w:rsidRPr="00AA160C">
        <w:rPr>
          <w:rFonts w:asciiTheme="minorHAnsi" w:hAnsiTheme="minorHAnsi"/>
          <w:szCs w:val="22"/>
          <w:lang w:val="en-GB"/>
        </w:rPr>
        <w:t>be provided</w:t>
      </w:r>
      <w:r w:rsidR="008B47B6">
        <w:rPr>
          <w:rFonts w:asciiTheme="minorHAnsi" w:hAnsiTheme="minorHAnsi"/>
          <w:szCs w:val="22"/>
          <w:lang w:val="en-GB"/>
        </w:rPr>
        <w:t xml:space="preserve"> to each client</w:t>
      </w:r>
      <w:r w:rsidR="00C7524C">
        <w:rPr>
          <w:rFonts w:asciiTheme="minorHAnsi" w:hAnsiTheme="minorHAnsi"/>
          <w:szCs w:val="22"/>
          <w:lang w:val="en-GB"/>
        </w:rPr>
        <w:t xml:space="preserve"> with which the firm</w:t>
      </w:r>
      <w:r w:rsidR="00C7524C" w:rsidRPr="00C7524C">
        <w:rPr>
          <w:rFonts w:asciiTheme="minorHAnsi" w:hAnsiTheme="minorHAnsi"/>
          <w:szCs w:val="22"/>
          <w:lang w:val="en-GB"/>
        </w:rPr>
        <w:t xml:space="preserve"> </w:t>
      </w:r>
      <w:r w:rsidR="00C7524C" w:rsidRPr="00AA160C">
        <w:rPr>
          <w:rFonts w:asciiTheme="minorHAnsi" w:hAnsiTheme="minorHAnsi"/>
          <w:szCs w:val="22"/>
          <w:lang w:val="en-GB"/>
        </w:rPr>
        <w:t>ha</w:t>
      </w:r>
      <w:r w:rsidR="00C7524C">
        <w:rPr>
          <w:rFonts w:asciiTheme="minorHAnsi" w:hAnsiTheme="minorHAnsi"/>
          <w:szCs w:val="22"/>
          <w:lang w:val="en-GB"/>
        </w:rPr>
        <w:t>s</w:t>
      </w:r>
      <w:r w:rsidR="00C7524C" w:rsidRPr="00AA160C">
        <w:rPr>
          <w:rFonts w:asciiTheme="minorHAnsi" w:hAnsiTheme="minorHAnsi"/>
          <w:szCs w:val="22"/>
          <w:lang w:val="en-GB"/>
        </w:rPr>
        <w:t xml:space="preserve"> or ha</w:t>
      </w:r>
      <w:r w:rsidR="00C7524C">
        <w:rPr>
          <w:rFonts w:asciiTheme="minorHAnsi" w:hAnsiTheme="minorHAnsi"/>
          <w:szCs w:val="22"/>
          <w:lang w:val="en-GB"/>
        </w:rPr>
        <w:t>s</w:t>
      </w:r>
      <w:r w:rsidR="00C7524C" w:rsidRPr="00AA160C">
        <w:rPr>
          <w:rFonts w:asciiTheme="minorHAnsi" w:hAnsiTheme="minorHAnsi"/>
          <w:szCs w:val="22"/>
          <w:lang w:val="en-GB"/>
        </w:rPr>
        <w:t xml:space="preserve"> had an ongoing relationship with</w:t>
      </w:r>
      <w:r w:rsidR="00C7524C">
        <w:rPr>
          <w:rFonts w:asciiTheme="minorHAnsi" w:hAnsiTheme="minorHAnsi"/>
          <w:szCs w:val="22"/>
          <w:lang w:val="en-GB"/>
        </w:rPr>
        <w:t xml:space="preserve"> during the year,</w:t>
      </w:r>
      <w:r w:rsidRPr="00AA160C">
        <w:rPr>
          <w:rFonts w:asciiTheme="minorHAnsi" w:hAnsiTheme="minorHAnsi"/>
          <w:szCs w:val="22"/>
          <w:lang w:val="en-GB"/>
        </w:rPr>
        <w:t xml:space="preserve"> </w:t>
      </w:r>
      <w:r w:rsidRPr="00AA160C">
        <w:rPr>
          <w:rFonts w:asciiTheme="minorHAnsi" w:hAnsiTheme="minorHAnsi"/>
          <w:i/>
          <w:szCs w:val="22"/>
          <w:lang w:val="en-GB"/>
        </w:rPr>
        <w:t xml:space="preserve">annually on a personalised basis </w:t>
      </w:r>
      <w:r w:rsidR="00AE6B47">
        <w:rPr>
          <w:rFonts w:asciiTheme="minorHAnsi" w:hAnsiTheme="minorHAnsi"/>
          <w:szCs w:val="22"/>
          <w:lang w:val="en-GB"/>
        </w:rPr>
        <w:t>in</w:t>
      </w:r>
      <w:r w:rsidR="00AE6B47" w:rsidRPr="00AA160C">
        <w:rPr>
          <w:rFonts w:asciiTheme="minorHAnsi" w:hAnsiTheme="minorHAnsi"/>
          <w:szCs w:val="22"/>
          <w:lang w:val="en-GB"/>
        </w:rPr>
        <w:t xml:space="preserve"> </w:t>
      </w:r>
      <w:r w:rsidRPr="00AA160C">
        <w:rPr>
          <w:rFonts w:asciiTheme="minorHAnsi" w:hAnsiTheme="minorHAnsi"/>
          <w:szCs w:val="22"/>
          <w:lang w:val="en-GB"/>
        </w:rPr>
        <w:t>the following situations</w:t>
      </w:r>
      <w:r w:rsidR="008B47B6">
        <w:rPr>
          <w:rFonts w:asciiTheme="minorHAnsi" w:hAnsiTheme="minorHAnsi"/>
          <w:szCs w:val="22"/>
          <w:lang w:val="en-GB"/>
        </w:rPr>
        <w:t>:</w:t>
      </w:r>
    </w:p>
    <w:p w14:paraId="43266F39" w14:textId="77777777" w:rsidR="00AE6B47" w:rsidRPr="00AA160C" w:rsidRDefault="00AE6B47" w:rsidP="00331B33">
      <w:pPr>
        <w:pStyle w:val="ListParagraph"/>
        <w:autoSpaceDE w:val="0"/>
        <w:autoSpaceDN w:val="0"/>
        <w:adjustRightInd w:val="0"/>
        <w:spacing w:line="276" w:lineRule="auto"/>
        <w:jc w:val="both"/>
        <w:rPr>
          <w:rFonts w:asciiTheme="minorHAnsi" w:hAnsiTheme="minorHAnsi"/>
          <w:szCs w:val="22"/>
          <w:lang w:val="en-GB"/>
        </w:rPr>
      </w:pPr>
    </w:p>
    <w:p w14:paraId="5614B99C" w14:textId="0EDF05B5" w:rsidR="00AA160C" w:rsidRPr="006F3EFC" w:rsidRDefault="00AA160C" w:rsidP="006B1F90">
      <w:pPr>
        <w:pStyle w:val="ListParagraph"/>
        <w:numPr>
          <w:ilvl w:val="1"/>
          <w:numId w:val="4"/>
        </w:numPr>
        <w:autoSpaceDE w:val="0"/>
        <w:autoSpaceDN w:val="0"/>
        <w:adjustRightInd w:val="0"/>
        <w:spacing w:line="276" w:lineRule="auto"/>
        <w:ind w:hanging="357"/>
        <w:jc w:val="both"/>
        <w:rPr>
          <w:rFonts w:asciiTheme="minorHAnsi" w:hAnsiTheme="minorHAnsi"/>
          <w:szCs w:val="22"/>
          <w:lang w:val="en-GB"/>
        </w:rPr>
      </w:pPr>
      <w:r w:rsidRPr="00AA160C">
        <w:rPr>
          <w:rFonts w:asciiTheme="minorHAnsi" w:hAnsiTheme="minorHAnsi"/>
          <w:szCs w:val="22"/>
          <w:lang w:val="en-GB"/>
        </w:rPr>
        <w:t>Where the investment firm recommends or markets financial instrument to clients or</w:t>
      </w:r>
    </w:p>
    <w:p w14:paraId="7E6A0BD5" w14:textId="2F062CC7" w:rsidR="00AA160C" w:rsidRPr="00AA160C" w:rsidRDefault="00AA160C" w:rsidP="00C7524C">
      <w:pPr>
        <w:pStyle w:val="ListParagraph"/>
        <w:numPr>
          <w:ilvl w:val="1"/>
          <w:numId w:val="4"/>
        </w:numPr>
        <w:autoSpaceDE w:val="0"/>
        <w:autoSpaceDN w:val="0"/>
        <w:adjustRightInd w:val="0"/>
        <w:spacing w:line="276" w:lineRule="auto"/>
        <w:jc w:val="both"/>
        <w:rPr>
          <w:rFonts w:asciiTheme="minorHAnsi" w:hAnsiTheme="minorHAnsi"/>
          <w:szCs w:val="22"/>
          <w:lang w:val="en-GB"/>
        </w:rPr>
      </w:pPr>
      <w:r w:rsidRPr="00AA160C">
        <w:rPr>
          <w:rFonts w:asciiTheme="minorHAnsi" w:hAnsiTheme="minorHAnsi"/>
          <w:szCs w:val="22"/>
          <w:lang w:val="en-GB"/>
        </w:rPr>
        <w:t>Where the investment firm providing an</w:t>
      </w:r>
      <w:r w:rsidR="00AE6B47">
        <w:rPr>
          <w:rFonts w:asciiTheme="minorHAnsi" w:hAnsiTheme="minorHAnsi"/>
          <w:szCs w:val="22"/>
          <w:lang w:val="en-GB"/>
        </w:rPr>
        <w:t>y</w:t>
      </w:r>
      <w:r w:rsidRPr="00AA160C">
        <w:rPr>
          <w:rFonts w:asciiTheme="minorHAnsi" w:hAnsiTheme="minorHAnsi"/>
          <w:szCs w:val="22"/>
          <w:lang w:val="en-GB"/>
        </w:rPr>
        <w:t xml:space="preserve"> investment services is required to provide to clients a UCITS KIID or </w:t>
      </w:r>
      <w:r w:rsidR="00AE6B47">
        <w:rPr>
          <w:rFonts w:asciiTheme="minorHAnsi" w:hAnsiTheme="minorHAnsi"/>
          <w:szCs w:val="22"/>
          <w:lang w:val="en-GB"/>
        </w:rPr>
        <w:t xml:space="preserve">a </w:t>
      </w:r>
      <w:r w:rsidRPr="00AA160C">
        <w:rPr>
          <w:rFonts w:asciiTheme="minorHAnsi" w:hAnsiTheme="minorHAnsi"/>
          <w:szCs w:val="22"/>
          <w:lang w:val="en-GB"/>
        </w:rPr>
        <w:t>PRIIPS KID in relation to the financial instrument</w:t>
      </w:r>
      <w:r w:rsidR="00AE6B47">
        <w:rPr>
          <w:rFonts w:asciiTheme="minorHAnsi" w:hAnsiTheme="minorHAnsi"/>
          <w:szCs w:val="22"/>
          <w:lang w:val="en-GB"/>
        </w:rPr>
        <w:t>(s).</w:t>
      </w:r>
    </w:p>
    <w:p w14:paraId="4554E004" w14:textId="77777777" w:rsidR="00AA160C" w:rsidRPr="00AA160C" w:rsidRDefault="00AA160C" w:rsidP="00331B33">
      <w:pPr>
        <w:pStyle w:val="ListParagraph"/>
        <w:autoSpaceDE w:val="0"/>
        <w:autoSpaceDN w:val="0"/>
        <w:adjustRightInd w:val="0"/>
        <w:spacing w:line="276" w:lineRule="auto"/>
        <w:jc w:val="both"/>
        <w:rPr>
          <w:rFonts w:asciiTheme="minorHAnsi" w:hAnsiTheme="minorHAnsi"/>
          <w:szCs w:val="22"/>
          <w:lang w:val="en-GB"/>
        </w:rPr>
      </w:pPr>
    </w:p>
    <w:p w14:paraId="3E808482" w14:textId="2BD4FAFC" w:rsidR="00FA4471" w:rsidRPr="00606C70" w:rsidRDefault="00C7524C" w:rsidP="00606C70">
      <w:pPr>
        <w:pStyle w:val="ListParagraph"/>
        <w:numPr>
          <w:ilvl w:val="0"/>
          <w:numId w:val="85"/>
        </w:numPr>
        <w:autoSpaceDE w:val="0"/>
        <w:autoSpaceDN w:val="0"/>
        <w:adjustRightInd w:val="0"/>
        <w:spacing w:line="276" w:lineRule="auto"/>
        <w:jc w:val="both"/>
        <w:rPr>
          <w:rFonts w:asciiTheme="minorHAnsi" w:hAnsiTheme="minorHAnsi"/>
          <w:szCs w:val="22"/>
          <w:lang w:val="en-GB"/>
        </w:rPr>
      </w:pPr>
      <w:r w:rsidRPr="00606C70">
        <w:rPr>
          <w:rFonts w:asciiTheme="minorHAnsi" w:hAnsiTheme="minorHAnsi"/>
          <w:szCs w:val="22"/>
          <w:lang w:val="en-GB"/>
        </w:rPr>
        <w:t xml:space="preserve">Recital 75 of the MiFID II Delegated Regulation confirms that the reference to recommending or marketing financial instruments includes the services of investment advice </w:t>
      </w:r>
      <w:r w:rsidR="001744B1" w:rsidRPr="00606C70">
        <w:rPr>
          <w:rFonts w:asciiTheme="minorHAnsi" w:hAnsiTheme="minorHAnsi"/>
          <w:szCs w:val="22"/>
          <w:lang w:val="en-GB"/>
        </w:rPr>
        <w:t xml:space="preserve">and </w:t>
      </w:r>
      <w:r w:rsidRPr="00606C70">
        <w:rPr>
          <w:rFonts w:asciiTheme="minorHAnsi" w:hAnsiTheme="minorHAnsi"/>
          <w:szCs w:val="22"/>
          <w:lang w:val="en-GB"/>
        </w:rPr>
        <w:t>portfolio management</w:t>
      </w:r>
      <w:r w:rsidR="00B070B4" w:rsidRPr="00606C70">
        <w:rPr>
          <w:rFonts w:asciiTheme="minorHAnsi" w:hAnsiTheme="minorHAnsi"/>
          <w:szCs w:val="22"/>
          <w:lang w:val="en-GB"/>
        </w:rPr>
        <w:t xml:space="preserve">. </w:t>
      </w:r>
      <w:r w:rsidR="006B696A">
        <w:rPr>
          <w:rFonts w:asciiTheme="minorHAnsi" w:hAnsiTheme="minorHAnsi"/>
          <w:szCs w:val="22"/>
          <w:lang w:val="en-GB"/>
        </w:rPr>
        <w:t>Therefore both Ex-Ante and</w:t>
      </w:r>
      <w:r w:rsidR="00FA4471" w:rsidRPr="00606C70">
        <w:rPr>
          <w:rFonts w:asciiTheme="minorHAnsi" w:hAnsiTheme="minorHAnsi"/>
          <w:szCs w:val="22"/>
          <w:lang w:val="en-GB"/>
        </w:rPr>
        <w:t xml:space="preserve"> Ex-Post disclosures should be </w:t>
      </w:r>
      <w:r w:rsidR="00811518" w:rsidRPr="00606C70">
        <w:rPr>
          <w:rFonts w:asciiTheme="minorHAnsi" w:hAnsiTheme="minorHAnsi"/>
          <w:szCs w:val="22"/>
          <w:lang w:val="en-GB"/>
        </w:rPr>
        <w:t xml:space="preserve">made </w:t>
      </w:r>
      <w:r w:rsidR="006B696A">
        <w:rPr>
          <w:rFonts w:asciiTheme="minorHAnsi" w:hAnsiTheme="minorHAnsi"/>
          <w:szCs w:val="22"/>
          <w:lang w:val="en-GB"/>
        </w:rPr>
        <w:t>in relation to the provision of</w:t>
      </w:r>
      <w:r w:rsidR="00FA4471" w:rsidRPr="00606C70">
        <w:rPr>
          <w:rFonts w:asciiTheme="minorHAnsi" w:hAnsiTheme="minorHAnsi"/>
          <w:szCs w:val="22"/>
          <w:lang w:val="en-GB"/>
        </w:rPr>
        <w:t xml:space="preserve"> Discretionary Portfolio Management Services.</w:t>
      </w:r>
    </w:p>
    <w:p w14:paraId="10ECF851" w14:textId="77777777" w:rsidR="00FA4471" w:rsidRPr="00C7524C" w:rsidRDefault="00FA4471" w:rsidP="00FA4471">
      <w:pPr>
        <w:pStyle w:val="ListParagraph"/>
        <w:autoSpaceDE w:val="0"/>
        <w:autoSpaceDN w:val="0"/>
        <w:adjustRightInd w:val="0"/>
        <w:spacing w:line="276" w:lineRule="auto"/>
        <w:jc w:val="both"/>
        <w:rPr>
          <w:rFonts w:asciiTheme="minorHAnsi" w:hAnsiTheme="minorHAnsi"/>
          <w:szCs w:val="22"/>
          <w:lang w:val="en-GB"/>
        </w:rPr>
      </w:pPr>
    </w:p>
    <w:p w14:paraId="28192A06" w14:textId="1A7DD3E9" w:rsidR="00AA160C" w:rsidRDefault="001744B1" w:rsidP="00331B33">
      <w:pPr>
        <w:pStyle w:val="ListParagraph"/>
        <w:numPr>
          <w:ilvl w:val="0"/>
          <w:numId w:val="4"/>
        </w:numPr>
        <w:autoSpaceDE w:val="0"/>
        <w:autoSpaceDN w:val="0"/>
        <w:adjustRightInd w:val="0"/>
        <w:spacing w:line="276" w:lineRule="auto"/>
        <w:jc w:val="both"/>
        <w:rPr>
          <w:rFonts w:asciiTheme="minorHAnsi" w:hAnsiTheme="minorHAnsi"/>
          <w:szCs w:val="22"/>
          <w:lang w:val="en-GB"/>
        </w:rPr>
      </w:pPr>
      <w:r>
        <w:rPr>
          <w:rFonts w:asciiTheme="minorHAnsi" w:hAnsiTheme="minorHAnsi"/>
          <w:szCs w:val="22"/>
          <w:lang w:val="en-GB"/>
        </w:rPr>
        <w:t>For</w:t>
      </w:r>
      <w:r w:rsidRPr="00AA160C">
        <w:rPr>
          <w:rFonts w:asciiTheme="minorHAnsi" w:hAnsiTheme="minorHAnsi"/>
          <w:szCs w:val="22"/>
          <w:lang w:val="en-GB"/>
        </w:rPr>
        <w:t xml:space="preserve"> </w:t>
      </w:r>
      <w:r w:rsidR="00AA160C" w:rsidRPr="00AA160C">
        <w:rPr>
          <w:rFonts w:asciiTheme="minorHAnsi" w:hAnsiTheme="minorHAnsi"/>
          <w:szCs w:val="22"/>
          <w:lang w:val="en-GB"/>
        </w:rPr>
        <w:t xml:space="preserve">both </w:t>
      </w:r>
      <w:r w:rsidR="00FA4471">
        <w:rPr>
          <w:rFonts w:asciiTheme="minorHAnsi" w:hAnsiTheme="minorHAnsi"/>
          <w:szCs w:val="22"/>
          <w:lang w:val="en-GB"/>
        </w:rPr>
        <w:t>the Ex-Ante and Ex-Post disclosures,</w:t>
      </w:r>
      <w:r w:rsidR="00AA160C" w:rsidRPr="00AA160C">
        <w:rPr>
          <w:rFonts w:asciiTheme="minorHAnsi" w:hAnsiTheme="minorHAnsi"/>
          <w:szCs w:val="22"/>
          <w:lang w:val="en-GB"/>
        </w:rPr>
        <w:t xml:space="preserve"> costs should be aggregated and expressed as a </w:t>
      </w:r>
      <w:r w:rsidR="00AA160C" w:rsidRPr="00AA160C">
        <w:rPr>
          <w:rFonts w:asciiTheme="minorHAnsi" w:hAnsiTheme="minorHAnsi"/>
          <w:i/>
          <w:szCs w:val="22"/>
          <w:lang w:val="en-GB"/>
        </w:rPr>
        <w:t>monetary amount and a percentage.</w:t>
      </w:r>
      <w:r w:rsidR="00AA160C" w:rsidRPr="00AA160C">
        <w:rPr>
          <w:rFonts w:asciiTheme="minorHAnsi" w:hAnsiTheme="minorHAnsi"/>
          <w:szCs w:val="22"/>
          <w:lang w:val="en-GB"/>
        </w:rPr>
        <w:t xml:space="preserve"> Third party payments received are to be shown separately</w:t>
      </w:r>
      <w:r w:rsidR="00AE6B47">
        <w:rPr>
          <w:rFonts w:asciiTheme="minorHAnsi" w:hAnsiTheme="minorHAnsi"/>
          <w:szCs w:val="22"/>
          <w:lang w:val="en-GB"/>
        </w:rPr>
        <w:t>.</w:t>
      </w:r>
    </w:p>
    <w:p w14:paraId="168AB8E1" w14:textId="77777777" w:rsidR="00FA4471" w:rsidRPr="00FA4471" w:rsidRDefault="00FA4471" w:rsidP="00FA4471">
      <w:pPr>
        <w:autoSpaceDE w:val="0"/>
        <w:autoSpaceDN w:val="0"/>
        <w:adjustRightInd w:val="0"/>
        <w:spacing w:line="276" w:lineRule="auto"/>
        <w:ind w:left="0"/>
        <w:jc w:val="both"/>
        <w:rPr>
          <w:rFonts w:asciiTheme="minorHAnsi" w:hAnsiTheme="minorHAnsi"/>
          <w:szCs w:val="22"/>
          <w:lang w:val="en-GB"/>
        </w:rPr>
      </w:pPr>
    </w:p>
    <w:p w14:paraId="69A382A5" w14:textId="5A141AFE" w:rsidR="00FA4471" w:rsidRDefault="001744B1" w:rsidP="00331B33">
      <w:pPr>
        <w:pStyle w:val="ListParagraph"/>
        <w:numPr>
          <w:ilvl w:val="0"/>
          <w:numId w:val="4"/>
        </w:numPr>
        <w:autoSpaceDE w:val="0"/>
        <w:autoSpaceDN w:val="0"/>
        <w:adjustRightInd w:val="0"/>
        <w:spacing w:line="276" w:lineRule="auto"/>
        <w:jc w:val="both"/>
        <w:rPr>
          <w:rFonts w:asciiTheme="minorHAnsi" w:hAnsiTheme="minorHAnsi"/>
          <w:szCs w:val="22"/>
          <w:lang w:val="en-GB"/>
        </w:rPr>
      </w:pPr>
      <w:r>
        <w:rPr>
          <w:rFonts w:asciiTheme="minorHAnsi" w:hAnsiTheme="minorHAnsi"/>
          <w:szCs w:val="22"/>
          <w:lang w:val="en-GB"/>
        </w:rPr>
        <w:t>For</w:t>
      </w:r>
      <w:r w:rsidR="00AA160C" w:rsidRPr="00FA4471">
        <w:rPr>
          <w:rFonts w:asciiTheme="minorHAnsi" w:hAnsiTheme="minorHAnsi"/>
          <w:szCs w:val="22"/>
          <w:lang w:val="en-GB"/>
        </w:rPr>
        <w:t xml:space="preserve"> both </w:t>
      </w:r>
      <w:r w:rsidR="00FA4471" w:rsidRPr="00FA4471">
        <w:rPr>
          <w:rFonts w:asciiTheme="minorHAnsi" w:hAnsiTheme="minorHAnsi"/>
          <w:szCs w:val="22"/>
          <w:lang w:val="en-GB"/>
        </w:rPr>
        <w:t>the Ex-Ante and Ex-</w:t>
      </w:r>
      <w:r w:rsidR="004320D7">
        <w:rPr>
          <w:rFonts w:asciiTheme="minorHAnsi" w:hAnsiTheme="minorHAnsi"/>
          <w:szCs w:val="22"/>
          <w:lang w:val="en-GB"/>
        </w:rPr>
        <w:t>P</w:t>
      </w:r>
      <w:r w:rsidR="00FA4471" w:rsidRPr="00FA4471">
        <w:rPr>
          <w:rFonts w:asciiTheme="minorHAnsi" w:hAnsiTheme="minorHAnsi"/>
          <w:szCs w:val="22"/>
          <w:lang w:val="en-GB"/>
        </w:rPr>
        <w:t>ost disclosure</w:t>
      </w:r>
      <w:r w:rsidR="00AA160C" w:rsidRPr="00FA4471">
        <w:rPr>
          <w:rFonts w:asciiTheme="minorHAnsi" w:hAnsiTheme="minorHAnsi"/>
          <w:szCs w:val="22"/>
          <w:lang w:val="en-GB"/>
        </w:rPr>
        <w:t>s</w:t>
      </w:r>
      <w:r w:rsidR="00FA4471">
        <w:rPr>
          <w:rFonts w:asciiTheme="minorHAnsi" w:hAnsiTheme="minorHAnsi"/>
          <w:szCs w:val="22"/>
          <w:lang w:val="en-GB"/>
        </w:rPr>
        <w:t>,</w:t>
      </w:r>
      <w:r w:rsidR="00AA160C" w:rsidRPr="00FA4471">
        <w:rPr>
          <w:rFonts w:asciiTheme="minorHAnsi" w:hAnsiTheme="minorHAnsi"/>
          <w:szCs w:val="22"/>
          <w:lang w:val="en-GB"/>
        </w:rPr>
        <w:t xml:space="preserve"> </w:t>
      </w:r>
      <w:r w:rsidR="00AA160C" w:rsidRPr="00FA4471">
        <w:rPr>
          <w:rFonts w:asciiTheme="minorHAnsi" w:hAnsiTheme="minorHAnsi"/>
          <w:i/>
          <w:szCs w:val="22"/>
          <w:lang w:val="en-GB"/>
        </w:rPr>
        <w:t xml:space="preserve">an illustration showing </w:t>
      </w:r>
      <w:r w:rsidR="00AE6B47" w:rsidRPr="00FA4471">
        <w:rPr>
          <w:rFonts w:asciiTheme="minorHAnsi" w:hAnsiTheme="minorHAnsi"/>
          <w:i/>
          <w:szCs w:val="22"/>
          <w:lang w:val="en-GB"/>
        </w:rPr>
        <w:t xml:space="preserve">the </w:t>
      </w:r>
      <w:r w:rsidR="00AA160C" w:rsidRPr="00FA4471">
        <w:rPr>
          <w:rFonts w:asciiTheme="minorHAnsi" w:hAnsiTheme="minorHAnsi"/>
          <w:i/>
          <w:szCs w:val="22"/>
          <w:lang w:val="en-GB"/>
        </w:rPr>
        <w:t>cumulative impact of costs on</w:t>
      </w:r>
      <w:r w:rsidR="00AE6B47" w:rsidRPr="00FA4471">
        <w:rPr>
          <w:rFonts w:asciiTheme="minorHAnsi" w:hAnsiTheme="minorHAnsi"/>
          <w:i/>
          <w:szCs w:val="22"/>
          <w:lang w:val="en-GB"/>
        </w:rPr>
        <w:t xml:space="preserve"> the</w:t>
      </w:r>
      <w:r w:rsidR="00AA160C" w:rsidRPr="00FA4471">
        <w:rPr>
          <w:rFonts w:asciiTheme="minorHAnsi" w:hAnsiTheme="minorHAnsi"/>
          <w:i/>
          <w:szCs w:val="22"/>
          <w:lang w:val="en-GB"/>
        </w:rPr>
        <w:t xml:space="preserve"> investment return</w:t>
      </w:r>
      <w:r w:rsidR="00AA160C" w:rsidRPr="00FA4471">
        <w:rPr>
          <w:rFonts w:asciiTheme="minorHAnsi" w:hAnsiTheme="minorHAnsi"/>
          <w:szCs w:val="22"/>
          <w:lang w:val="en-GB"/>
        </w:rPr>
        <w:t xml:space="preserve"> should also be included along with any anticipated spikes or fluctuations and a description of </w:t>
      </w:r>
      <w:r w:rsidR="00AE6B47" w:rsidRPr="00FA4471">
        <w:rPr>
          <w:rFonts w:asciiTheme="minorHAnsi" w:hAnsiTheme="minorHAnsi"/>
          <w:szCs w:val="22"/>
          <w:lang w:val="en-GB"/>
        </w:rPr>
        <w:t xml:space="preserve">the </w:t>
      </w:r>
      <w:r w:rsidR="00AA160C" w:rsidRPr="00FA4471">
        <w:rPr>
          <w:rFonts w:asciiTheme="minorHAnsi" w:hAnsiTheme="minorHAnsi"/>
          <w:szCs w:val="22"/>
          <w:lang w:val="en-GB"/>
        </w:rPr>
        <w:t>illustration</w:t>
      </w:r>
      <w:r w:rsidR="00AE6B47" w:rsidRPr="00FA4471">
        <w:rPr>
          <w:rFonts w:asciiTheme="minorHAnsi" w:hAnsiTheme="minorHAnsi"/>
          <w:szCs w:val="22"/>
          <w:lang w:val="en-GB"/>
        </w:rPr>
        <w:t>.</w:t>
      </w:r>
    </w:p>
    <w:p w14:paraId="34C72342" w14:textId="77777777" w:rsidR="00FA4471" w:rsidRPr="00FA4471" w:rsidRDefault="00FA4471" w:rsidP="00FA4471">
      <w:pPr>
        <w:pStyle w:val="ListParagraph"/>
        <w:rPr>
          <w:rFonts w:asciiTheme="minorHAnsi" w:hAnsiTheme="minorHAnsi"/>
          <w:szCs w:val="22"/>
          <w:lang w:val="en-GB"/>
        </w:rPr>
      </w:pPr>
    </w:p>
    <w:p w14:paraId="517EB0D4" w14:textId="40D7E05D" w:rsidR="00AA160C" w:rsidRDefault="00AA160C" w:rsidP="00331B33">
      <w:pPr>
        <w:pStyle w:val="ListParagraph"/>
        <w:numPr>
          <w:ilvl w:val="0"/>
          <w:numId w:val="4"/>
        </w:numPr>
        <w:autoSpaceDE w:val="0"/>
        <w:autoSpaceDN w:val="0"/>
        <w:adjustRightInd w:val="0"/>
        <w:spacing w:line="276" w:lineRule="auto"/>
        <w:jc w:val="both"/>
        <w:rPr>
          <w:rFonts w:asciiTheme="minorHAnsi" w:hAnsiTheme="minorHAnsi"/>
          <w:szCs w:val="22"/>
          <w:lang w:val="en-GB"/>
        </w:rPr>
      </w:pPr>
      <w:r w:rsidRPr="00FA4471">
        <w:rPr>
          <w:rFonts w:asciiTheme="minorHAnsi" w:hAnsiTheme="minorHAnsi"/>
          <w:szCs w:val="22"/>
          <w:lang w:val="en-GB"/>
        </w:rPr>
        <w:t>Where any part of the total costs and charges is to be paid in or represents an amount of foreign currency, investment firms shall provide an indication of the currency involved and the applicable currency conversion rates and costs</w:t>
      </w:r>
      <w:r w:rsidR="00835C62" w:rsidRPr="00FA4471">
        <w:rPr>
          <w:rFonts w:asciiTheme="minorHAnsi" w:hAnsiTheme="minorHAnsi"/>
          <w:szCs w:val="22"/>
          <w:lang w:val="en-GB"/>
        </w:rPr>
        <w:t>.</w:t>
      </w:r>
    </w:p>
    <w:p w14:paraId="67544BBD" w14:textId="77777777" w:rsidR="00FA4471" w:rsidRPr="00FA4471" w:rsidRDefault="00FA4471" w:rsidP="00FA4471">
      <w:pPr>
        <w:autoSpaceDE w:val="0"/>
        <w:autoSpaceDN w:val="0"/>
        <w:adjustRightInd w:val="0"/>
        <w:spacing w:line="276" w:lineRule="auto"/>
        <w:ind w:left="0"/>
        <w:jc w:val="both"/>
        <w:rPr>
          <w:rFonts w:asciiTheme="minorHAnsi" w:hAnsiTheme="minorHAnsi"/>
          <w:szCs w:val="22"/>
          <w:lang w:val="en-GB"/>
        </w:rPr>
      </w:pPr>
    </w:p>
    <w:p w14:paraId="7221CC7B" w14:textId="5C1AEBE4" w:rsidR="005E4828" w:rsidRPr="0057630E" w:rsidRDefault="00835C62" w:rsidP="0057630E">
      <w:pPr>
        <w:pStyle w:val="ListParagraph"/>
        <w:numPr>
          <w:ilvl w:val="0"/>
          <w:numId w:val="4"/>
        </w:numPr>
        <w:autoSpaceDE w:val="0"/>
        <w:autoSpaceDN w:val="0"/>
        <w:adjustRightInd w:val="0"/>
        <w:spacing w:line="276" w:lineRule="auto"/>
        <w:jc w:val="both"/>
        <w:rPr>
          <w:rFonts w:asciiTheme="minorHAnsi" w:hAnsiTheme="minorHAnsi"/>
          <w:szCs w:val="22"/>
        </w:rPr>
      </w:pPr>
      <w:r>
        <w:rPr>
          <w:rFonts w:asciiTheme="minorHAnsi" w:hAnsiTheme="minorHAnsi"/>
          <w:i/>
          <w:szCs w:val="22"/>
          <w:lang w:val="en-GB"/>
        </w:rPr>
        <w:t>A l</w:t>
      </w:r>
      <w:r w:rsidR="00AA160C" w:rsidRPr="00AA160C">
        <w:rPr>
          <w:rFonts w:asciiTheme="minorHAnsi" w:hAnsiTheme="minorHAnsi"/>
          <w:i/>
          <w:szCs w:val="22"/>
          <w:lang w:val="en-GB"/>
        </w:rPr>
        <w:t>imited waiver</w:t>
      </w:r>
      <w:r w:rsidR="00A90DB6">
        <w:rPr>
          <w:rStyle w:val="FootnoteReference"/>
          <w:rFonts w:asciiTheme="minorHAnsi" w:hAnsiTheme="minorHAnsi"/>
          <w:i/>
          <w:szCs w:val="22"/>
          <w:lang w:val="en-GB"/>
        </w:rPr>
        <w:footnoteReference w:id="15"/>
      </w:r>
      <w:r w:rsidR="00AA160C" w:rsidRPr="00AA160C">
        <w:rPr>
          <w:rFonts w:asciiTheme="minorHAnsi" w:hAnsiTheme="minorHAnsi"/>
          <w:szCs w:val="22"/>
          <w:lang w:val="en-GB"/>
        </w:rPr>
        <w:t xml:space="preserve"> under certain circumstances is available for Professional Clients</w:t>
      </w:r>
      <w:r>
        <w:rPr>
          <w:rFonts w:asciiTheme="minorHAnsi" w:hAnsiTheme="minorHAnsi"/>
          <w:szCs w:val="22"/>
          <w:lang w:val="en-GB"/>
        </w:rPr>
        <w:t xml:space="preserve"> (except when the services of investment advice or portfolio management are provided, or when the financial instrument concerned embeds a derivative)</w:t>
      </w:r>
      <w:r w:rsidR="001744B1">
        <w:rPr>
          <w:rFonts w:asciiTheme="minorHAnsi" w:hAnsiTheme="minorHAnsi"/>
          <w:szCs w:val="22"/>
          <w:lang w:val="en-GB"/>
        </w:rPr>
        <w:t xml:space="preserve"> and for </w:t>
      </w:r>
      <w:r w:rsidR="001744B1" w:rsidRPr="00AA160C">
        <w:rPr>
          <w:rFonts w:asciiTheme="minorHAnsi" w:hAnsiTheme="minorHAnsi"/>
          <w:szCs w:val="22"/>
          <w:lang w:val="en-GB"/>
        </w:rPr>
        <w:t>Eligible Counterparties</w:t>
      </w:r>
      <w:r w:rsidR="001744B1">
        <w:rPr>
          <w:rFonts w:asciiTheme="minorHAnsi" w:hAnsiTheme="minorHAnsi"/>
          <w:szCs w:val="22"/>
          <w:lang w:val="en-GB"/>
        </w:rPr>
        <w:t xml:space="preserve"> (except when the financial instrument concerned embeds a derivative and the Eligible counterparty intends to offer it to its clients)</w:t>
      </w:r>
      <w:r w:rsidR="00AA160C" w:rsidRPr="00331B33">
        <w:rPr>
          <w:rFonts w:asciiTheme="minorHAnsi" w:hAnsiTheme="minorHAnsi"/>
          <w:szCs w:val="22"/>
          <w:lang w:val="en-GB"/>
        </w:rPr>
        <w:t>.</w:t>
      </w:r>
      <w:bookmarkEnd w:id="107"/>
      <w:r w:rsidR="005E4828" w:rsidRPr="0057630E">
        <w:rPr>
          <w:rFonts w:asciiTheme="minorHAnsi" w:hAnsiTheme="minorHAnsi"/>
          <w:szCs w:val="22"/>
        </w:rPr>
        <w:br w:type="page"/>
      </w:r>
    </w:p>
    <w:p w14:paraId="057F7B88" w14:textId="77777777" w:rsidR="00AA160C" w:rsidRPr="00AA160C" w:rsidRDefault="00AA160C" w:rsidP="00331B33">
      <w:pPr>
        <w:spacing w:line="276" w:lineRule="auto"/>
        <w:jc w:val="both"/>
        <w:rPr>
          <w:rFonts w:asciiTheme="minorHAnsi" w:hAnsiTheme="minorHAnsi"/>
          <w:szCs w:val="22"/>
        </w:rPr>
      </w:pPr>
    </w:p>
    <w:p w14:paraId="15AE83FF" w14:textId="066918F8" w:rsidR="00AA160C" w:rsidRPr="006F3EFC" w:rsidRDefault="00AA160C" w:rsidP="0087645C">
      <w:pPr>
        <w:pStyle w:val="Heading3"/>
        <w:spacing w:before="0" w:line="276" w:lineRule="auto"/>
        <w:ind w:left="567"/>
        <w:rPr>
          <w:rFonts w:ascii="Calibri" w:hAnsi="Calibri"/>
          <w:b w:val="0"/>
          <w:sz w:val="24"/>
          <w:szCs w:val="24"/>
          <w:lang w:val="en-GB"/>
        </w:rPr>
      </w:pPr>
      <w:bookmarkStart w:id="108" w:name="_Toc364001867"/>
      <w:bookmarkStart w:id="109" w:name="_Toc364343118"/>
      <w:bookmarkStart w:id="110" w:name="_Toc364343305"/>
      <w:bookmarkStart w:id="111" w:name="_Toc364343664"/>
      <w:bookmarkStart w:id="112" w:name="_Toc364635728"/>
      <w:bookmarkStart w:id="113" w:name="_Toc364636120"/>
      <w:bookmarkStart w:id="114" w:name="_Toc364636556"/>
      <w:bookmarkStart w:id="115" w:name="_Toc366502057"/>
      <w:bookmarkStart w:id="116" w:name="_Toc369907836"/>
      <w:bookmarkStart w:id="117" w:name="_Toc370052354"/>
      <w:bookmarkStart w:id="118" w:name="_Toc372234502"/>
      <w:bookmarkStart w:id="119" w:name="_Toc395871030"/>
      <w:bookmarkStart w:id="120" w:name="_Toc409468197"/>
      <w:r w:rsidRPr="006F3EFC">
        <w:rPr>
          <w:rFonts w:ascii="Calibri" w:hAnsi="Calibri"/>
          <w:color w:val="auto"/>
          <w:sz w:val="24"/>
          <w:szCs w:val="24"/>
          <w:lang w:val="en-GB"/>
        </w:rPr>
        <w:t>Investment Service Costs</w:t>
      </w:r>
      <w:bookmarkEnd w:id="108"/>
      <w:bookmarkEnd w:id="109"/>
      <w:bookmarkEnd w:id="110"/>
      <w:bookmarkEnd w:id="111"/>
      <w:bookmarkEnd w:id="112"/>
      <w:bookmarkEnd w:id="113"/>
      <w:bookmarkEnd w:id="114"/>
      <w:bookmarkEnd w:id="115"/>
      <w:bookmarkEnd w:id="116"/>
      <w:bookmarkEnd w:id="117"/>
      <w:bookmarkEnd w:id="118"/>
      <w:bookmarkEnd w:id="119"/>
      <w:bookmarkEnd w:id="120"/>
    </w:p>
    <w:p w14:paraId="630A841C" w14:textId="77777777" w:rsidR="00AA160C" w:rsidRPr="00AA160C" w:rsidRDefault="00AA160C" w:rsidP="00331B33">
      <w:pPr>
        <w:spacing w:line="276" w:lineRule="auto"/>
        <w:ind w:left="0"/>
        <w:jc w:val="both"/>
        <w:rPr>
          <w:rFonts w:asciiTheme="minorHAnsi" w:eastAsia="SimSun" w:hAnsiTheme="minorHAnsi" w:cstheme="minorHAnsi"/>
          <w:szCs w:val="22"/>
          <w:lang w:eastAsia="zh-CN"/>
        </w:rPr>
      </w:pPr>
    </w:p>
    <w:p w14:paraId="5115D351" w14:textId="77777777" w:rsidR="000E5A68" w:rsidRDefault="00AA160C" w:rsidP="00621FE3">
      <w:pPr>
        <w:spacing w:line="276" w:lineRule="auto"/>
        <w:jc w:val="both"/>
        <w:rPr>
          <w:rFonts w:asciiTheme="minorHAnsi" w:eastAsia="SimSun" w:hAnsiTheme="minorHAnsi" w:cstheme="minorHAnsi"/>
          <w:szCs w:val="22"/>
          <w:lang w:eastAsia="zh-CN"/>
        </w:rPr>
      </w:pPr>
      <w:r w:rsidRPr="00AA160C">
        <w:rPr>
          <w:rFonts w:asciiTheme="minorHAnsi" w:eastAsia="SimSun" w:hAnsiTheme="minorHAnsi" w:cstheme="minorHAnsi"/>
          <w:szCs w:val="22"/>
          <w:lang w:eastAsia="zh-CN"/>
        </w:rPr>
        <w:t xml:space="preserve">All costs and associated charges charged for the investment service(s) and/or ancillary services provided to the client should form part of the amount to be disclosed. Cost items should be aggregated as per first column in </w:t>
      </w:r>
      <w:r w:rsidR="0086770E">
        <w:rPr>
          <w:rFonts w:asciiTheme="minorHAnsi" w:eastAsia="SimSun" w:hAnsiTheme="minorHAnsi" w:cstheme="minorHAnsi"/>
          <w:szCs w:val="22"/>
          <w:lang w:eastAsia="zh-CN"/>
        </w:rPr>
        <w:t>T</w:t>
      </w:r>
      <w:r w:rsidRPr="00AA160C">
        <w:rPr>
          <w:rFonts w:asciiTheme="minorHAnsi" w:eastAsia="SimSun" w:hAnsiTheme="minorHAnsi" w:cstheme="minorHAnsi"/>
          <w:szCs w:val="22"/>
          <w:lang w:eastAsia="zh-CN"/>
        </w:rPr>
        <w:t>able</w:t>
      </w:r>
      <w:r w:rsidR="0086770E">
        <w:rPr>
          <w:rFonts w:asciiTheme="minorHAnsi" w:eastAsia="SimSun" w:hAnsiTheme="minorHAnsi" w:cstheme="minorHAnsi"/>
          <w:szCs w:val="22"/>
          <w:lang w:eastAsia="zh-CN"/>
        </w:rPr>
        <w:t xml:space="preserve"> 1</w:t>
      </w:r>
      <w:r w:rsidRPr="00AA160C">
        <w:rPr>
          <w:rFonts w:asciiTheme="minorHAnsi" w:eastAsia="SimSun" w:hAnsiTheme="minorHAnsi" w:cstheme="minorHAnsi"/>
          <w:szCs w:val="22"/>
          <w:lang w:eastAsia="zh-CN"/>
        </w:rPr>
        <w:t xml:space="preserve"> </w:t>
      </w:r>
      <w:r w:rsidR="0086770E">
        <w:rPr>
          <w:rFonts w:asciiTheme="minorHAnsi" w:eastAsia="SimSun" w:hAnsiTheme="minorHAnsi" w:cstheme="minorHAnsi"/>
          <w:szCs w:val="22"/>
          <w:lang w:eastAsia="zh-CN"/>
        </w:rPr>
        <w:t xml:space="preserve">Annex II </w:t>
      </w:r>
      <w:r w:rsidR="00C728FC">
        <w:rPr>
          <w:rFonts w:asciiTheme="minorHAnsi" w:eastAsia="SimSun" w:hAnsiTheme="minorHAnsi" w:cstheme="minorHAnsi"/>
          <w:szCs w:val="22"/>
          <w:lang w:eastAsia="zh-CN"/>
        </w:rPr>
        <w:t xml:space="preserve">of the </w:t>
      </w:r>
      <w:r w:rsidR="00BB11D0">
        <w:rPr>
          <w:rFonts w:asciiTheme="minorHAnsi" w:eastAsia="SimSun" w:hAnsiTheme="minorHAnsi" w:cstheme="minorHAnsi"/>
          <w:szCs w:val="22"/>
          <w:lang w:eastAsia="zh-CN"/>
        </w:rPr>
        <w:t xml:space="preserve">MIFID II </w:t>
      </w:r>
      <w:r w:rsidR="00C728FC">
        <w:rPr>
          <w:rFonts w:asciiTheme="minorHAnsi" w:eastAsia="SimSun" w:hAnsiTheme="minorHAnsi" w:cstheme="minorHAnsi"/>
          <w:szCs w:val="22"/>
          <w:lang w:eastAsia="zh-CN"/>
        </w:rPr>
        <w:t>Delegated</w:t>
      </w:r>
      <w:r w:rsidR="000E5A68">
        <w:rPr>
          <w:rFonts w:asciiTheme="minorHAnsi" w:eastAsia="SimSun" w:hAnsiTheme="minorHAnsi" w:cstheme="minorHAnsi"/>
          <w:szCs w:val="22"/>
          <w:lang w:eastAsia="zh-CN"/>
        </w:rPr>
        <w:t xml:space="preserve"> Regulation</w:t>
      </w:r>
      <w:r w:rsidR="00C728FC">
        <w:rPr>
          <w:rFonts w:asciiTheme="minorHAnsi" w:eastAsia="SimSun" w:hAnsiTheme="minorHAnsi" w:cstheme="minorHAnsi"/>
          <w:szCs w:val="22"/>
          <w:lang w:eastAsia="zh-CN"/>
        </w:rPr>
        <w:t>, which is set out below</w:t>
      </w:r>
      <w:r w:rsidR="000E5A68">
        <w:rPr>
          <w:rFonts w:asciiTheme="minorHAnsi" w:eastAsia="SimSun" w:hAnsiTheme="minorHAnsi" w:cstheme="minorHAnsi"/>
          <w:szCs w:val="22"/>
          <w:lang w:eastAsia="zh-CN"/>
        </w:rPr>
        <w:t>.</w:t>
      </w:r>
    </w:p>
    <w:p w14:paraId="5F7F9565" w14:textId="77777777" w:rsidR="000E5A68" w:rsidRDefault="000E5A68" w:rsidP="00621FE3">
      <w:pPr>
        <w:spacing w:line="276" w:lineRule="auto"/>
        <w:jc w:val="both"/>
        <w:rPr>
          <w:rFonts w:asciiTheme="minorHAnsi" w:eastAsia="SimSun" w:hAnsiTheme="minorHAnsi" w:cstheme="minorHAnsi"/>
          <w:szCs w:val="22"/>
          <w:lang w:eastAsia="zh-CN"/>
        </w:rPr>
      </w:pPr>
    </w:p>
    <w:p w14:paraId="257B0209" w14:textId="74118BF0" w:rsidR="00AA160C" w:rsidRPr="00AA160C" w:rsidRDefault="000E5A68" w:rsidP="00621FE3">
      <w:pPr>
        <w:spacing w:line="276" w:lineRule="auto"/>
        <w:jc w:val="both"/>
        <w:rPr>
          <w:rFonts w:asciiTheme="minorHAnsi" w:eastAsia="SimSun" w:hAnsiTheme="minorHAnsi" w:cstheme="minorHAnsi"/>
          <w:szCs w:val="22"/>
          <w:lang w:eastAsia="zh-CN"/>
        </w:rPr>
      </w:pPr>
      <w:r>
        <w:rPr>
          <w:rFonts w:asciiTheme="minorHAnsi" w:eastAsia="SimSun" w:hAnsiTheme="minorHAnsi" w:cstheme="minorHAnsi"/>
          <w:szCs w:val="22"/>
          <w:lang w:eastAsia="zh-CN"/>
        </w:rPr>
        <w:t>This table refers to both Ex-Ante and Ex-Post disclosures.</w:t>
      </w:r>
    </w:p>
    <w:p w14:paraId="7B09E144" w14:textId="43751A0F" w:rsidR="00AA160C" w:rsidRDefault="00AA160C" w:rsidP="00331B33">
      <w:pPr>
        <w:spacing w:line="276" w:lineRule="auto"/>
        <w:ind w:left="0"/>
        <w:rPr>
          <w:rFonts w:asciiTheme="minorHAnsi" w:eastAsia="SimSun" w:hAnsiTheme="minorHAnsi" w:cstheme="minorHAnsi"/>
          <w:szCs w:val="22"/>
          <w:lang w:eastAsia="zh-CN"/>
        </w:rPr>
      </w:pPr>
    </w:p>
    <w:p w14:paraId="3A5A40D9" w14:textId="33769DEC" w:rsidR="00F84F58" w:rsidRPr="00331B33" w:rsidRDefault="00F84F58" w:rsidP="00AA160C">
      <w:pPr>
        <w:ind w:left="0"/>
        <w:rPr>
          <w:rFonts w:asciiTheme="minorHAnsi" w:eastAsia="SimSun" w:hAnsiTheme="minorHAnsi" w:cstheme="minorHAnsi"/>
          <w:b/>
          <w:szCs w:val="22"/>
          <w:lang w:eastAsia="zh-CN"/>
        </w:rPr>
      </w:pPr>
      <w:r w:rsidRPr="00331B33">
        <w:rPr>
          <w:rFonts w:asciiTheme="minorHAnsi" w:eastAsia="SimSun" w:hAnsiTheme="minorHAnsi" w:cstheme="minorHAnsi"/>
          <w:b/>
          <w:szCs w:val="22"/>
          <w:lang w:eastAsia="zh-CN"/>
        </w:rPr>
        <w:t>Table 1</w:t>
      </w:r>
    </w:p>
    <w:p w14:paraId="7E7591CE" w14:textId="77777777" w:rsidR="00AA160C" w:rsidRPr="00AA160C" w:rsidRDefault="00AA160C" w:rsidP="00AA160C">
      <w:pPr>
        <w:ind w:left="0"/>
        <w:rPr>
          <w:rFonts w:asciiTheme="minorHAnsi" w:eastAsia="SimSun" w:hAnsiTheme="minorHAnsi" w:cstheme="minorHAnsi"/>
          <w:szCs w:val="22"/>
          <w:lang w:eastAsia="zh-CN"/>
        </w:rPr>
      </w:pPr>
    </w:p>
    <w:tbl>
      <w:tblPr>
        <w:tblStyle w:val="TableGrid"/>
        <w:tblW w:w="0" w:type="auto"/>
        <w:tblInd w:w="108" w:type="dxa"/>
        <w:tblLook w:val="04A0" w:firstRow="1" w:lastRow="0" w:firstColumn="1" w:lastColumn="0" w:noHBand="0" w:noVBand="1"/>
      </w:tblPr>
      <w:tblGrid>
        <w:gridCol w:w="2977"/>
        <w:gridCol w:w="2977"/>
        <w:gridCol w:w="3083"/>
      </w:tblGrid>
      <w:tr w:rsidR="00AA160C" w:rsidRPr="00AA160C" w14:paraId="4C103A41" w14:textId="77777777" w:rsidTr="00CD1A7F">
        <w:trPr>
          <w:trHeight w:val="377"/>
        </w:trPr>
        <w:tc>
          <w:tcPr>
            <w:tcW w:w="2977" w:type="dxa"/>
            <w:hideMark/>
          </w:tcPr>
          <w:p w14:paraId="4513F147"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Cost items to be disclosed </w:t>
            </w:r>
          </w:p>
        </w:tc>
        <w:tc>
          <w:tcPr>
            <w:tcW w:w="2977" w:type="dxa"/>
            <w:hideMark/>
          </w:tcPr>
          <w:p w14:paraId="291C0923"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Description</w:t>
            </w:r>
          </w:p>
        </w:tc>
        <w:tc>
          <w:tcPr>
            <w:tcW w:w="3083" w:type="dxa"/>
            <w:hideMark/>
          </w:tcPr>
          <w:p w14:paraId="33973D1C"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Examples </w:t>
            </w:r>
          </w:p>
        </w:tc>
      </w:tr>
      <w:tr w:rsidR="00AA160C" w:rsidRPr="00AA160C" w14:paraId="5AB63059" w14:textId="77777777" w:rsidTr="00CD1A7F">
        <w:trPr>
          <w:trHeight w:val="765"/>
        </w:trPr>
        <w:tc>
          <w:tcPr>
            <w:tcW w:w="2977" w:type="dxa"/>
            <w:hideMark/>
          </w:tcPr>
          <w:p w14:paraId="2597BCB6"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One-off charges </w:t>
            </w:r>
            <w:r w:rsidRPr="00AA160C">
              <w:rPr>
                <w:rFonts w:asciiTheme="minorHAnsi" w:hAnsiTheme="minorHAnsi" w:cstheme="minorHAnsi"/>
                <w:bCs/>
                <w:lang w:eastAsia="zh-CN"/>
              </w:rPr>
              <w:t xml:space="preserve">related to the provision of an investment service </w:t>
            </w:r>
          </w:p>
        </w:tc>
        <w:tc>
          <w:tcPr>
            <w:tcW w:w="2977" w:type="dxa"/>
            <w:hideMark/>
          </w:tcPr>
          <w:p w14:paraId="492F5793"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All costs and charges paid to the investment firm at the beginning or at the end of the provided investment service(s). </w:t>
            </w:r>
          </w:p>
        </w:tc>
        <w:tc>
          <w:tcPr>
            <w:tcW w:w="3083" w:type="dxa"/>
            <w:hideMark/>
          </w:tcPr>
          <w:p w14:paraId="383F8ADA"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Deposit fees, </w:t>
            </w:r>
          </w:p>
          <w:p w14:paraId="78BEAEF9" w14:textId="59E73084" w:rsidR="00AA160C" w:rsidRPr="00AA160C" w:rsidRDefault="001F5422" w:rsidP="00CD1A7F">
            <w:pPr>
              <w:ind w:left="0"/>
              <w:rPr>
                <w:rFonts w:asciiTheme="minorHAnsi" w:hAnsiTheme="minorHAnsi" w:cstheme="minorHAnsi"/>
                <w:lang w:eastAsia="zh-CN"/>
              </w:rPr>
            </w:pPr>
            <w:r w:rsidRPr="00AA160C">
              <w:rPr>
                <w:rFonts w:asciiTheme="minorHAnsi" w:hAnsiTheme="minorHAnsi" w:cstheme="minorHAnsi"/>
                <w:lang w:eastAsia="zh-CN"/>
              </w:rPr>
              <w:t>Termination</w:t>
            </w:r>
            <w:r w:rsidR="00AA160C" w:rsidRPr="00AA160C">
              <w:rPr>
                <w:rFonts w:asciiTheme="minorHAnsi" w:hAnsiTheme="minorHAnsi" w:cstheme="minorHAnsi"/>
                <w:lang w:eastAsia="zh-CN"/>
              </w:rPr>
              <w:t xml:space="preserve"> fees </w:t>
            </w:r>
          </w:p>
          <w:p w14:paraId="464B883C"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Switching costs (</w:t>
            </w:r>
            <w:r w:rsidRPr="00AA160C">
              <w:rPr>
                <w:rFonts w:asciiTheme="minorHAnsi" w:hAnsiTheme="minorHAnsi" w:cstheme="minorHAnsi"/>
              </w:rPr>
              <w:t>costs that can be incurred by investors by switching from one investment firm to another investment firm</w:t>
            </w:r>
            <w:r w:rsidRPr="00AA160C">
              <w:rPr>
                <w:rFonts w:asciiTheme="minorHAnsi" w:hAnsiTheme="minorHAnsi" w:cstheme="minorHAnsi"/>
                <w:lang w:eastAsia="zh-CN"/>
              </w:rPr>
              <w:t xml:space="preserve">). </w:t>
            </w:r>
          </w:p>
        </w:tc>
      </w:tr>
      <w:tr w:rsidR="00AA160C" w:rsidRPr="00AA160C" w14:paraId="7A7C6F86" w14:textId="77777777" w:rsidTr="00CD1A7F">
        <w:trPr>
          <w:trHeight w:val="765"/>
        </w:trPr>
        <w:tc>
          <w:tcPr>
            <w:tcW w:w="2977" w:type="dxa"/>
            <w:hideMark/>
          </w:tcPr>
          <w:p w14:paraId="1A69BC46"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On-going charges </w:t>
            </w:r>
            <w:r w:rsidRPr="00AA160C">
              <w:rPr>
                <w:rFonts w:asciiTheme="minorHAnsi" w:hAnsiTheme="minorHAnsi" w:cstheme="minorHAnsi"/>
                <w:bCs/>
                <w:lang w:eastAsia="zh-CN"/>
              </w:rPr>
              <w:t>related to the provision of an investment service</w:t>
            </w:r>
            <w:r w:rsidRPr="00AA160C">
              <w:rPr>
                <w:rFonts w:asciiTheme="minorHAnsi" w:hAnsiTheme="minorHAnsi" w:cstheme="minorHAnsi"/>
                <w:b/>
                <w:bCs/>
                <w:lang w:eastAsia="zh-CN"/>
              </w:rPr>
              <w:t xml:space="preserve"> </w:t>
            </w:r>
          </w:p>
        </w:tc>
        <w:tc>
          <w:tcPr>
            <w:tcW w:w="2977" w:type="dxa"/>
            <w:hideMark/>
          </w:tcPr>
          <w:p w14:paraId="65687928"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All on-going costs and charges paid to investment firms for their services provided to the client. </w:t>
            </w:r>
          </w:p>
        </w:tc>
        <w:tc>
          <w:tcPr>
            <w:tcW w:w="3083" w:type="dxa"/>
            <w:hideMark/>
          </w:tcPr>
          <w:p w14:paraId="73FCE86B"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Management fees, </w:t>
            </w:r>
          </w:p>
          <w:p w14:paraId="486D387F" w14:textId="153D1F48" w:rsidR="00AA160C" w:rsidRPr="00AA160C" w:rsidRDefault="001F5422" w:rsidP="00CD1A7F">
            <w:pPr>
              <w:ind w:left="0"/>
              <w:rPr>
                <w:rFonts w:asciiTheme="minorHAnsi" w:hAnsiTheme="minorHAnsi" w:cstheme="minorHAnsi"/>
                <w:lang w:eastAsia="zh-CN"/>
              </w:rPr>
            </w:pPr>
            <w:r w:rsidRPr="00AA160C">
              <w:rPr>
                <w:rFonts w:asciiTheme="minorHAnsi" w:hAnsiTheme="minorHAnsi" w:cstheme="minorHAnsi"/>
                <w:lang w:eastAsia="zh-CN"/>
              </w:rPr>
              <w:t>Advisory</w:t>
            </w:r>
            <w:r w:rsidR="00AA160C" w:rsidRPr="00AA160C">
              <w:rPr>
                <w:rFonts w:asciiTheme="minorHAnsi" w:hAnsiTheme="minorHAnsi" w:cstheme="minorHAnsi"/>
                <w:lang w:eastAsia="zh-CN"/>
              </w:rPr>
              <w:t xml:space="preserve"> fees, </w:t>
            </w:r>
          </w:p>
          <w:p w14:paraId="211D4212"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Custodian fees. </w:t>
            </w:r>
          </w:p>
        </w:tc>
      </w:tr>
      <w:tr w:rsidR="00AA160C" w:rsidRPr="00AA160C" w14:paraId="5558A6D3" w14:textId="77777777" w:rsidTr="00CD1A7F">
        <w:trPr>
          <w:trHeight w:val="1020"/>
        </w:trPr>
        <w:tc>
          <w:tcPr>
            <w:tcW w:w="2977" w:type="dxa"/>
            <w:hideMark/>
          </w:tcPr>
          <w:p w14:paraId="12CF505C"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All costs related to transactions initiated </w:t>
            </w:r>
            <w:r w:rsidRPr="00AA160C">
              <w:rPr>
                <w:rFonts w:asciiTheme="minorHAnsi" w:hAnsiTheme="minorHAnsi" w:cstheme="minorHAnsi"/>
                <w:bCs/>
                <w:lang w:eastAsia="zh-CN"/>
              </w:rPr>
              <w:t>in the course of the provision of an investment service</w:t>
            </w:r>
            <w:r w:rsidRPr="00AA160C">
              <w:rPr>
                <w:rFonts w:asciiTheme="minorHAnsi" w:hAnsiTheme="minorHAnsi" w:cstheme="minorHAnsi"/>
                <w:b/>
                <w:bCs/>
                <w:lang w:eastAsia="zh-CN"/>
              </w:rPr>
              <w:t xml:space="preserve"> </w:t>
            </w:r>
          </w:p>
        </w:tc>
        <w:tc>
          <w:tcPr>
            <w:tcW w:w="2977" w:type="dxa"/>
            <w:hideMark/>
          </w:tcPr>
          <w:p w14:paraId="364A8375"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All costs and charges that are related to transactions performed by the investment firm or other parties. </w:t>
            </w:r>
          </w:p>
        </w:tc>
        <w:tc>
          <w:tcPr>
            <w:tcW w:w="3083" w:type="dxa"/>
            <w:hideMark/>
          </w:tcPr>
          <w:p w14:paraId="63A1F585" w14:textId="6C41D3FD"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Broker commissions</w:t>
            </w:r>
            <w:r>
              <w:rPr>
                <w:rFonts w:asciiTheme="minorHAnsi" w:hAnsiTheme="minorHAnsi" w:cstheme="minorHAnsi"/>
                <w:lang w:eastAsia="zh-CN"/>
              </w:rPr>
              <w:t xml:space="preserve"> </w:t>
            </w:r>
            <w:r w:rsidRPr="00AA160C">
              <w:rPr>
                <w:rFonts w:asciiTheme="minorHAnsi" w:hAnsiTheme="minorHAnsi" w:cstheme="minorHAnsi"/>
                <w:lang w:eastAsia="zh-CN"/>
              </w:rPr>
              <w:t>(</w:t>
            </w:r>
            <w:r w:rsidRPr="00AA160C">
              <w:rPr>
                <w:rFonts w:asciiTheme="minorHAnsi" w:hAnsiTheme="minorHAnsi" w:cstheme="minorHAnsi"/>
              </w:rPr>
              <w:t>costs that are charged by investment firms for the execution of orders)</w:t>
            </w:r>
            <w:r w:rsidRPr="00AA160C">
              <w:rPr>
                <w:rFonts w:asciiTheme="minorHAnsi" w:hAnsiTheme="minorHAnsi" w:cstheme="minorHAnsi"/>
                <w:lang w:eastAsia="zh-CN"/>
              </w:rPr>
              <w:t xml:space="preserve">, </w:t>
            </w:r>
          </w:p>
          <w:p w14:paraId="5754DD3C" w14:textId="64E5D323" w:rsidR="00AA160C" w:rsidRPr="00AA160C" w:rsidRDefault="001F5422" w:rsidP="00CD1A7F">
            <w:pPr>
              <w:ind w:left="0"/>
              <w:rPr>
                <w:rFonts w:asciiTheme="minorHAnsi" w:hAnsiTheme="minorHAnsi" w:cstheme="minorHAnsi"/>
                <w:lang w:eastAsia="zh-CN"/>
              </w:rPr>
            </w:pPr>
            <w:r w:rsidRPr="00AA160C">
              <w:rPr>
                <w:rFonts w:asciiTheme="minorHAnsi" w:hAnsiTheme="minorHAnsi" w:cstheme="minorHAnsi"/>
                <w:lang w:eastAsia="zh-CN"/>
              </w:rPr>
              <w:t>Entry</w:t>
            </w:r>
            <w:r w:rsidR="00AA160C" w:rsidRPr="00AA160C">
              <w:rPr>
                <w:rFonts w:asciiTheme="minorHAnsi" w:hAnsiTheme="minorHAnsi" w:cstheme="minorHAnsi"/>
                <w:lang w:eastAsia="zh-CN"/>
              </w:rPr>
              <w:t xml:space="preserve">- and exit charges paid to the fund manager, </w:t>
            </w:r>
          </w:p>
          <w:p w14:paraId="6DB8328B" w14:textId="5FE1D894" w:rsidR="00AA160C" w:rsidRPr="00AA160C" w:rsidRDefault="001F5422" w:rsidP="00CD1A7F">
            <w:pPr>
              <w:ind w:left="0"/>
              <w:rPr>
                <w:rFonts w:asciiTheme="minorHAnsi" w:hAnsiTheme="minorHAnsi" w:cstheme="minorHAnsi"/>
                <w:lang w:eastAsia="zh-CN"/>
              </w:rPr>
            </w:pPr>
            <w:r w:rsidRPr="00AA160C">
              <w:rPr>
                <w:rFonts w:asciiTheme="minorHAnsi" w:hAnsiTheme="minorHAnsi" w:cstheme="minorHAnsi"/>
                <w:lang w:eastAsia="zh-CN"/>
              </w:rPr>
              <w:t>Platform</w:t>
            </w:r>
            <w:r w:rsidR="00AA160C" w:rsidRPr="00AA160C">
              <w:rPr>
                <w:rFonts w:asciiTheme="minorHAnsi" w:hAnsiTheme="minorHAnsi" w:cstheme="minorHAnsi"/>
                <w:lang w:eastAsia="zh-CN"/>
              </w:rPr>
              <w:t xml:space="preserve"> fees, </w:t>
            </w:r>
          </w:p>
          <w:p w14:paraId="4E77DFFA" w14:textId="763E910F" w:rsidR="00AA160C" w:rsidRPr="00AA160C" w:rsidRDefault="001F5422" w:rsidP="00CD1A7F">
            <w:pPr>
              <w:ind w:left="0"/>
              <w:rPr>
                <w:rFonts w:asciiTheme="minorHAnsi" w:hAnsiTheme="minorHAnsi" w:cstheme="minorHAnsi"/>
                <w:lang w:eastAsia="zh-CN"/>
              </w:rPr>
            </w:pPr>
            <w:r w:rsidRPr="00AA160C">
              <w:rPr>
                <w:rFonts w:asciiTheme="minorHAnsi" w:hAnsiTheme="minorHAnsi" w:cstheme="minorHAnsi"/>
                <w:lang w:eastAsia="zh-CN"/>
              </w:rPr>
              <w:t>Mark</w:t>
            </w:r>
            <w:r w:rsidR="00AA160C" w:rsidRPr="00AA160C">
              <w:rPr>
                <w:rFonts w:asciiTheme="minorHAnsi" w:hAnsiTheme="minorHAnsi" w:cstheme="minorHAnsi"/>
                <w:lang w:eastAsia="zh-CN"/>
              </w:rPr>
              <w:t xml:space="preserve"> ups (embedded in the transaction price), </w:t>
            </w:r>
          </w:p>
          <w:p w14:paraId="67D85FCC" w14:textId="594FF0D9" w:rsidR="00AA160C" w:rsidRPr="00AA160C" w:rsidRDefault="001F5422" w:rsidP="00CD1A7F">
            <w:pPr>
              <w:ind w:left="0"/>
              <w:rPr>
                <w:rFonts w:asciiTheme="minorHAnsi" w:hAnsiTheme="minorHAnsi" w:cstheme="minorHAnsi"/>
                <w:lang w:eastAsia="zh-CN"/>
              </w:rPr>
            </w:pPr>
            <w:r w:rsidRPr="00AA160C">
              <w:rPr>
                <w:rFonts w:asciiTheme="minorHAnsi" w:hAnsiTheme="minorHAnsi" w:cstheme="minorHAnsi"/>
                <w:lang w:eastAsia="zh-CN"/>
              </w:rPr>
              <w:t>Stamp</w:t>
            </w:r>
            <w:r w:rsidR="00AA160C" w:rsidRPr="00AA160C">
              <w:rPr>
                <w:rFonts w:asciiTheme="minorHAnsi" w:hAnsiTheme="minorHAnsi" w:cstheme="minorHAnsi"/>
                <w:lang w:eastAsia="zh-CN"/>
              </w:rPr>
              <w:t xml:space="preserve"> duty, </w:t>
            </w:r>
          </w:p>
          <w:p w14:paraId="72DFF71D" w14:textId="6AD78D2C" w:rsidR="00AA160C" w:rsidRPr="00AA160C" w:rsidRDefault="001F5422" w:rsidP="00CD1A7F">
            <w:pPr>
              <w:ind w:left="0"/>
              <w:rPr>
                <w:rFonts w:asciiTheme="minorHAnsi" w:hAnsiTheme="minorHAnsi" w:cstheme="minorHAnsi"/>
                <w:lang w:eastAsia="zh-CN"/>
              </w:rPr>
            </w:pPr>
            <w:r w:rsidRPr="00AA160C">
              <w:rPr>
                <w:rFonts w:asciiTheme="minorHAnsi" w:hAnsiTheme="minorHAnsi" w:cstheme="minorHAnsi"/>
                <w:lang w:eastAsia="zh-CN"/>
              </w:rPr>
              <w:t>Transactions</w:t>
            </w:r>
            <w:r w:rsidR="00AA160C" w:rsidRPr="00AA160C">
              <w:rPr>
                <w:rFonts w:asciiTheme="minorHAnsi" w:hAnsiTheme="minorHAnsi" w:cstheme="minorHAnsi"/>
                <w:lang w:eastAsia="zh-CN"/>
              </w:rPr>
              <w:t xml:space="preserve"> tax </w:t>
            </w:r>
          </w:p>
          <w:p w14:paraId="151803DB"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Foreign exchange costs. </w:t>
            </w:r>
          </w:p>
        </w:tc>
      </w:tr>
      <w:tr w:rsidR="00AA160C" w:rsidRPr="00AA160C" w14:paraId="0C8C762F" w14:textId="77777777" w:rsidTr="00CD1A7F">
        <w:trPr>
          <w:trHeight w:val="765"/>
        </w:trPr>
        <w:tc>
          <w:tcPr>
            <w:tcW w:w="2977" w:type="dxa"/>
            <w:hideMark/>
          </w:tcPr>
          <w:p w14:paraId="4504C452"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Any charges that are related to ancillary services </w:t>
            </w:r>
          </w:p>
        </w:tc>
        <w:tc>
          <w:tcPr>
            <w:tcW w:w="2977" w:type="dxa"/>
            <w:hideMark/>
          </w:tcPr>
          <w:p w14:paraId="62EC4532"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Any costs and charges that are related to ancillary services that are not included in the costs mentioned above. </w:t>
            </w:r>
          </w:p>
        </w:tc>
        <w:tc>
          <w:tcPr>
            <w:tcW w:w="3083" w:type="dxa"/>
            <w:hideMark/>
          </w:tcPr>
          <w:p w14:paraId="1D276CFA"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Research costs. </w:t>
            </w:r>
            <w:r w:rsidRPr="00AA160C">
              <w:rPr>
                <w:rFonts w:asciiTheme="minorHAnsi" w:hAnsiTheme="minorHAnsi" w:cstheme="minorHAnsi"/>
                <w:lang w:eastAsia="zh-CN"/>
              </w:rPr>
              <w:br/>
              <w:t xml:space="preserve">Custody costs. </w:t>
            </w:r>
          </w:p>
        </w:tc>
      </w:tr>
      <w:tr w:rsidR="00AA160C" w:rsidRPr="00C728FC" w14:paraId="68CEC0F8" w14:textId="77777777" w:rsidTr="00CD1A7F">
        <w:trPr>
          <w:trHeight w:val="300"/>
        </w:trPr>
        <w:tc>
          <w:tcPr>
            <w:tcW w:w="2977" w:type="dxa"/>
            <w:hideMark/>
          </w:tcPr>
          <w:p w14:paraId="039EA7DE" w14:textId="77777777" w:rsidR="00AA160C" w:rsidRPr="006F3EFC" w:rsidRDefault="00AA160C" w:rsidP="00CD1A7F">
            <w:pPr>
              <w:ind w:left="0"/>
              <w:rPr>
                <w:rFonts w:asciiTheme="minorHAnsi" w:hAnsiTheme="minorHAnsi" w:cstheme="minorHAnsi"/>
                <w:b/>
                <w:bCs/>
                <w:lang w:eastAsia="zh-CN"/>
              </w:rPr>
            </w:pPr>
            <w:r w:rsidRPr="00C728FC">
              <w:rPr>
                <w:rFonts w:asciiTheme="minorHAnsi" w:hAnsiTheme="minorHAnsi" w:cstheme="minorHAnsi"/>
                <w:b/>
                <w:bCs/>
                <w:lang w:eastAsia="zh-CN"/>
              </w:rPr>
              <w:t xml:space="preserve">Incidental costs </w:t>
            </w:r>
          </w:p>
        </w:tc>
        <w:tc>
          <w:tcPr>
            <w:tcW w:w="2977" w:type="dxa"/>
            <w:hideMark/>
          </w:tcPr>
          <w:p w14:paraId="789AAB5D" w14:textId="77777777" w:rsidR="00AA160C" w:rsidRPr="006F3EFC" w:rsidRDefault="00AA160C" w:rsidP="00CD1A7F">
            <w:pPr>
              <w:rPr>
                <w:rFonts w:asciiTheme="minorHAnsi" w:hAnsiTheme="minorHAnsi" w:cstheme="minorHAnsi"/>
                <w:b/>
                <w:bCs/>
                <w:lang w:eastAsia="zh-CN"/>
              </w:rPr>
            </w:pPr>
          </w:p>
        </w:tc>
        <w:tc>
          <w:tcPr>
            <w:tcW w:w="3083" w:type="dxa"/>
            <w:hideMark/>
          </w:tcPr>
          <w:p w14:paraId="60AD0612" w14:textId="77777777" w:rsidR="00AA160C" w:rsidRPr="006F3EFC" w:rsidRDefault="00AA160C" w:rsidP="00CD1A7F">
            <w:pPr>
              <w:ind w:left="0"/>
              <w:rPr>
                <w:rFonts w:asciiTheme="minorHAnsi" w:hAnsiTheme="minorHAnsi" w:cstheme="minorHAnsi"/>
                <w:lang w:eastAsia="zh-CN"/>
              </w:rPr>
            </w:pPr>
            <w:r w:rsidRPr="00C728FC">
              <w:rPr>
                <w:rFonts w:asciiTheme="minorHAnsi" w:hAnsiTheme="minorHAnsi" w:cstheme="minorHAnsi"/>
                <w:lang w:eastAsia="zh-CN"/>
              </w:rPr>
              <w:t xml:space="preserve">Performance fees </w:t>
            </w:r>
          </w:p>
        </w:tc>
      </w:tr>
    </w:tbl>
    <w:p w14:paraId="3AE5494B" w14:textId="1C91485F" w:rsidR="00C728FC" w:rsidRPr="00E2588C" w:rsidRDefault="00C728FC" w:rsidP="00C728FC">
      <w:pPr>
        <w:spacing w:after="160" w:line="259" w:lineRule="auto"/>
        <w:ind w:left="0"/>
        <w:rPr>
          <w:rFonts w:asciiTheme="minorHAnsi" w:eastAsia="SimSun" w:hAnsiTheme="minorHAnsi" w:cstheme="minorHAnsi"/>
          <w:b/>
          <w:i/>
          <w:sz w:val="20"/>
          <w:lang w:eastAsia="zh-CN"/>
        </w:rPr>
      </w:pPr>
      <w:r w:rsidRPr="00E2588C">
        <w:rPr>
          <w:rFonts w:asciiTheme="minorHAnsi" w:eastAsia="SimSun" w:hAnsiTheme="minorHAnsi" w:cstheme="minorHAnsi"/>
          <w:b/>
          <w:i/>
          <w:sz w:val="20"/>
          <w:lang w:eastAsia="zh-CN"/>
        </w:rPr>
        <w:t xml:space="preserve">Table 1 of Annex II of MiFID </w:t>
      </w:r>
      <w:r w:rsidR="005666DE">
        <w:rPr>
          <w:rFonts w:asciiTheme="minorHAnsi" w:eastAsia="SimSun" w:hAnsiTheme="minorHAnsi" w:cstheme="minorHAnsi"/>
          <w:b/>
          <w:i/>
          <w:sz w:val="20"/>
          <w:lang w:eastAsia="zh-CN"/>
        </w:rPr>
        <w:t>D</w:t>
      </w:r>
      <w:r w:rsidRPr="00E2588C">
        <w:rPr>
          <w:rFonts w:asciiTheme="minorHAnsi" w:eastAsia="SimSun" w:hAnsiTheme="minorHAnsi" w:cstheme="minorHAnsi"/>
          <w:b/>
          <w:i/>
          <w:sz w:val="20"/>
          <w:lang w:eastAsia="zh-CN"/>
        </w:rPr>
        <w:t xml:space="preserve">elegated </w:t>
      </w:r>
      <w:r w:rsidR="005666DE">
        <w:rPr>
          <w:rFonts w:asciiTheme="minorHAnsi" w:eastAsia="SimSun" w:hAnsiTheme="minorHAnsi" w:cstheme="minorHAnsi"/>
          <w:b/>
          <w:i/>
          <w:sz w:val="20"/>
          <w:lang w:eastAsia="zh-CN"/>
        </w:rPr>
        <w:t>R</w:t>
      </w:r>
      <w:r w:rsidRPr="00E2588C">
        <w:rPr>
          <w:rFonts w:asciiTheme="minorHAnsi" w:eastAsia="SimSun" w:hAnsiTheme="minorHAnsi" w:cstheme="minorHAnsi"/>
          <w:b/>
          <w:i/>
          <w:sz w:val="20"/>
          <w:lang w:eastAsia="zh-CN"/>
        </w:rPr>
        <w:t xml:space="preserve">egulation </w:t>
      </w:r>
    </w:p>
    <w:p w14:paraId="64F3B169" w14:textId="77777777" w:rsidR="00C728FC" w:rsidRDefault="00C728FC">
      <w:pPr>
        <w:spacing w:after="160" w:line="259" w:lineRule="auto"/>
        <w:ind w:left="0"/>
        <w:rPr>
          <w:rFonts w:asciiTheme="minorHAnsi" w:hAnsiTheme="minorHAnsi"/>
          <w:b/>
          <w:lang w:val="en-GB"/>
        </w:rPr>
      </w:pPr>
      <w:r>
        <w:rPr>
          <w:rFonts w:asciiTheme="minorHAnsi" w:hAnsiTheme="minorHAnsi"/>
          <w:b/>
          <w:lang w:val="en-GB"/>
        </w:rPr>
        <w:br w:type="page"/>
      </w:r>
    </w:p>
    <w:p w14:paraId="1B51E66A" w14:textId="5761FB54" w:rsidR="00AA160C" w:rsidRPr="006F3EFC" w:rsidRDefault="00AA160C" w:rsidP="008F524F">
      <w:pPr>
        <w:pStyle w:val="Heading3"/>
        <w:tabs>
          <w:tab w:val="left" w:pos="851"/>
        </w:tabs>
        <w:ind w:left="709" w:hanging="709"/>
        <w:rPr>
          <w:rFonts w:ascii="Calibri" w:hAnsi="Calibri"/>
          <w:b w:val="0"/>
          <w:sz w:val="24"/>
          <w:szCs w:val="24"/>
          <w:lang w:val="en-GB"/>
        </w:rPr>
      </w:pPr>
      <w:bookmarkStart w:id="121" w:name="_Toc364001868"/>
      <w:bookmarkStart w:id="122" w:name="_Toc364343119"/>
      <w:bookmarkStart w:id="123" w:name="_Toc364343306"/>
      <w:bookmarkStart w:id="124" w:name="_Toc364343665"/>
      <w:bookmarkStart w:id="125" w:name="_Toc364635729"/>
      <w:bookmarkStart w:id="126" w:name="_Toc364636121"/>
      <w:bookmarkStart w:id="127" w:name="_Toc364636557"/>
      <w:bookmarkStart w:id="128" w:name="_Toc366502058"/>
      <w:bookmarkStart w:id="129" w:name="_Toc369907837"/>
      <w:bookmarkStart w:id="130" w:name="_Toc370052355"/>
      <w:bookmarkStart w:id="131" w:name="_Toc372234503"/>
      <w:bookmarkStart w:id="132" w:name="_Toc395871031"/>
      <w:bookmarkStart w:id="133" w:name="_Toc409468198"/>
      <w:r w:rsidRPr="006F3EFC">
        <w:rPr>
          <w:rFonts w:ascii="Calibri" w:hAnsi="Calibri"/>
          <w:color w:val="auto"/>
          <w:sz w:val="24"/>
          <w:szCs w:val="24"/>
          <w:lang w:val="en-GB"/>
        </w:rPr>
        <w:lastRenderedPageBreak/>
        <w:t>Investment Product Costs</w:t>
      </w:r>
      <w:bookmarkEnd w:id="121"/>
      <w:bookmarkEnd w:id="122"/>
      <w:bookmarkEnd w:id="123"/>
      <w:bookmarkEnd w:id="124"/>
      <w:bookmarkEnd w:id="125"/>
      <w:bookmarkEnd w:id="126"/>
      <w:bookmarkEnd w:id="127"/>
      <w:bookmarkEnd w:id="128"/>
      <w:bookmarkEnd w:id="129"/>
      <w:bookmarkEnd w:id="130"/>
      <w:bookmarkEnd w:id="131"/>
      <w:bookmarkEnd w:id="132"/>
      <w:bookmarkEnd w:id="133"/>
    </w:p>
    <w:p w14:paraId="6952E0A9" w14:textId="77777777" w:rsidR="00C728FC" w:rsidRDefault="00C728FC" w:rsidP="00AA160C">
      <w:pPr>
        <w:spacing w:line="276" w:lineRule="auto"/>
        <w:ind w:left="0"/>
        <w:rPr>
          <w:rFonts w:asciiTheme="minorHAnsi" w:eastAsia="SimSun" w:hAnsiTheme="minorHAnsi" w:cstheme="minorHAnsi"/>
          <w:lang w:eastAsia="zh-CN"/>
        </w:rPr>
      </w:pPr>
    </w:p>
    <w:p w14:paraId="0808959D" w14:textId="052F866F" w:rsidR="000E5A68" w:rsidRPr="000E5A68" w:rsidRDefault="00AA160C" w:rsidP="007D53AC">
      <w:pPr>
        <w:spacing w:line="276" w:lineRule="auto"/>
        <w:rPr>
          <w:rFonts w:asciiTheme="minorHAnsi" w:eastAsia="SimSun" w:hAnsiTheme="minorHAnsi" w:cstheme="minorHAnsi"/>
          <w:lang w:eastAsia="zh-CN"/>
        </w:rPr>
      </w:pPr>
      <w:r w:rsidRPr="00AA160C">
        <w:rPr>
          <w:rFonts w:asciiTheme="minorHAnsi" w:eastAsia="SimSun" w:hAnsiTheme="minorHAnsi" w:cstheme="minorHAnsi"/>
          <w:lang w:eastAsia="zh-CN"/>
        </w:rPr>
        <w:t>All costs and associated charges related to the financial instrument that should form part of the amount to be disclosed. Cost items should be aggregated as per</w:t>
      </w:r>
      <w:r w:rsidR="00F84F58">
        <w:rPr>
          <w:rFonts w:asciiTheme="minorHAnsi" w:eastAsia="SimSun" w:hAnsiTheme="minorHAnsi" w:cstheme="minorHAnsi"/>
          <w:lang w:eastAsia="zh-CN"/>
        </w:rPr>
        <w:t xml:space="preserve"> the</w:t>
      </w:r>
      <w:r w:rsidRPr="00AA160C">
        <w:rPr>
          <w:rFonts w:asciiTheme="minorHAnsi" w:eastAsia="SimSun" w:hAnsiTheme="minorHAnsi" w:cstheme="minorHAnsi"/>
          <w:lang w:eastAsia="zh-CN"/>
        </w:rPr>
        <w:t xml:space="preserve"> first column in </w:t>
      </w:r>
      <w:r w:rsidR="000E5A68" w:rsidRPr="000E5A68">
        <w:rPr>
          <w:rFonts w:asciiTheme="minorHAnsi" w:eastAsia="SimSun" w:hAnsiTheme="minorHAnsi" w:cstheme="minorHAnsi"/>
          <w:lang w:eastAsia="zh-CN"/>
        </w:rPr>
        <w:t>Table</w:t>
      </w:r>
      <w:r w:rsidR="00621FE3">
        <w:rPr>
          <w:rFonts w:asciiTheme="minorHAnsi" w:eastAsia="SimSun" w:hAnsiTheme="minorHAnsi" w:cstheme="minorHAnsi"/>
          <w:lang w:eastAsia="zh-CN"/>
        </w:rPr>
        <w:t xml:space="preserve"> </w:t>
      </w:r>
      <w:r w:rsidR="000E5A68">
        <w:rPr>
          <w:rFonts w:asciiTheme="minorHAnsi" w:eastAsia="SimSun" w:hAnsiTheme="minorHAnsi" w:cstheme="minorHAnsi"/>
          <w:lang w:eastAsia="zh-CN"/>
        </w:rPr>
        <w:t>2</w:t>
      </w:r>
      <w:r w:rsidR="000E5A68" w:rsidRPr="000E5A68">
        <w:rPr>
          <w:rFonts w:asciiTheme="minorHAnsi" w:eastAsia="SimSun" w:hAnsiTheme="minorHAnsi" w:cstheme="minorHAnsi"/>
          <w:lang w:eastAsia="zh-CN"/>
        </w:rPr>
        <w:t xml:space="preserve"> Annex II of the MIFID II Delegated Regulation, which is set out below.</w:t>
      </w:r>
    </w:p>
    <w:p w14:paraId="4C605644" w14:textId="77777777" w:rsidR="000E5A68" w:rsidRPr="000E5A68" w:rsidRDefault="000E5A68" w:rsidP="007D53AC">
      <w:pPr>
        <w:spacing w:line="276" w:lineRule="auto"/>
        <w:rPr>
          <w:rFonts w:asciiTheme="minorHAnsi" w:eastAsia="SimSun" w:hAnsiTheme="minorHAnsi" w:cstheme="minorHAnsi"/>
          <w:lang w:eastAsia="zh-CN"/>
        </w:rPr>
      </w:pPr>
    </w:p>
    <w:p w14:paraId="69B5D5D1" w14:textId="77777777" w:rsidR="000E5A68" w:rsidRDefault="000E5A68" w:rsidP="007D53AC">
      <w:pPr>
        <w:spacing w:line="276" w:lineRule="auto"/>
        <w:rPr>
          <w:rFonts w:asciiTheme="minorHAnsi" w:eastAsia="SimSun" w:hAnsiTheme="minorHAnsi" w:cstheme="minorHAnsi"/>
          <w:lang w:eastAsia="zh-CN"/>
        </w:rPr>
      </w:pPr>
      <w:r w:rsidRPr="000E5A68">
        <w:rPr>
          <w:rFonts w:asciiTheme="minorHAnsi" w:eastAsia="SimSun" w:hAnsiTheme="minorHAnsi" w:cstheme="minorHAnsi"/>
          <w:lang w:eastAsia="zh-CN"/>
        </w:rPr>
        <w:t>This table refers to both Ex-Ante and Ex-Post disclosures.</w:t>
      </w:r>
    </w:p>
    <w:p w14:paraId="32F8DD3A" w14:textId="77777777" w:rsidR="000E5A68" w:rsidRDefault="000E5A68" w:rsidP="00AA160C">
      <w:pPr>
        <w:spacing w:line="276" w:lineRule="auto"/>
        <w:ind w:left="0"/>
        <w:rPr>
          <w:rFonts w:asciiTheme="minorHAnsi" w:eastAsia="SimSun" w:hAnsiTheme="minorHAnsi" w:cstheme="minorHAnsi"/>
          <w:lang w:eastAsia="zh-CN"/>
        </w:rPr>
      </w:pPr>
    </w:p>
    <w:p w14:paraId="40AFFB04" w14:textId="6BB0B49E" w:rsidR="00F84F58" w:rsidRPr="00331B33" w:rsidRDefault="00F84F58" w:rsidP="00AA160C">
      <w:pPr>
        <w:spacing w:line="276" w:lineRule="auto"/>
        <w:ind w:left="0"/>
        <w:rPr>
          <w:rFonts w:asciiTheme="minorHAnsi" w:eastAsia="SimSun" w:hAnsiTheme="minorHAnsi" w:cstheme="minorHAnsi"/>
          <w:b/>
          <w:lang w:eastAsia="zh-CN"/>
        </w:rPr>
      </w:pPr>
      <w:r w:rsidRPr="00331B33">
        <w:rPr>
          <w:rFonts w:asciiTheme="minorHAnsi" w:eastAsia="SimSun" w:hAnsiTheme="minorHAnsi" w:cstheme="minorHAnsi"/>
          <w:b/>
          <w:lang w:eastAsia="zh-CN"/>
        </w:rPr>
        <w:t>Table 2</w:t>
      </w:r>
    </w:p>
    <w:p w14:paraId="21058449" w14:textId="77777777" w:rsidR="00F84F58" w:rsidRPr="00AA160C" w:rsidRDefault="00F84F58" w:rsidP="00AA160C">
      <w:pPr>
        <w:spacing w:line="276" w:lineRule="auto"/>
        <w:ind w:left="0"/>
        <w:rPr>
          <w:rFonts w:asciiTheme="minorHAnsi" w:eastAsia="SimSun" w:hAnsiTheme="minorHAnsi" w:cstheme="minorHAnsi"/>
          <w:lang w:eastAsia="zh-CN"/>
        </w:rPr>
      </w:pPr>
    </w:p>
    <w:tbl>
      <w:tblPr>
        <w:tblStyle w:val="TableGrid"/>
        <w:tblW w:w="0" w:type="auto"/>
        <w:tblInd w:w="108" w:type="dxa"/>
        <w:tblLook w:val="04A0" w:firstRow="1" w:lastRow="0" w:firstColumn="1" w:lastColumn="0" w:noHBand="0" w:noVBand="1"/>
      </w:tblPr>
      <w:tblGrid>
        <w:gridCol w:w="2977"/>
        <w:gridCol w:w="2977"/>
        <w:gridCol w:w="3180"/>
      </w:tblGrid>
      <w:tr w:rsidR="00AA160C" w:rsidRPr="00AA160C" w14:paraId="454CD799" w14:textId="77777777" w:rsidTr="00CD1A7F">
        <w:trPr>
          <w:trHeight w:val="377"/>
        </w:trPr>
        <w:tc>
          <w:tcPr>
            <w:tcW w:w="2977" w:type="dxa"/>
            <w:hideMark/>
          </w:tcPr>
          <w:p w14:paraId="3A01875D"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Cost items to be disclosed </w:t>
            </w:r>
          </w:p>
        </w:tc>
        <w:tc>
          <w:tcPr>
            <w:tcW w:w="2977" w:type="dxa"/>
            <w:hideMark/>
          </w:tcPr>
          <w:p w14:paraId="67B2BC92"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Description</w:t>
            </w:r>
          </w:p>
        </w:tc>
        <w:tc>
          <w:tcPr>
            <w:tcW w:w="3180" w:type="dxa"/>
            <w:hideMark/>
          </w:tcPr>
          <w:p w14:paraId="4EF9194F"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Examples </w:t>
            </w:r>
          </w:p>
        </w:tc>
      </w:tr>
      <w:tr w:rsidR="00AA160C" w:rsidRPr="00AA160C" w14:paraId="1C6DC57E" w14:textId="77777777" w:rsidTr="00CD1A7F">
        <w:trPr>
          <w:trHeight w:val="765"/>
        </w:trPr>
        <w:tc>
          <w:tcPr>
            <w:tcW w:w="2977" w:type="dxa"/>
          </w:tcPr>
          <w:p w14:paraId="2FF7D1A3"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One-off charges</w:t>
            </w:r>
          </w:p>
          <w:p w14:paraId="513237E0" w14:textId="77777777" w:rsidR="00AA160C" w:rsidRPr="00AA160C" w:rsidRDefault="00AA160C" w:rsidP="00CD1A7F">
            <w:pPr>
              <w:rPr>
                <w:rFonts w:asciiTheme="minorHAnsi" w:hAnsiTheme="minorHAnsi" w:cstheme="minorHAnsi"/>
                <w:b/>
                <w:bCs/>
                <w:lang w:eastAsia="zh-CN"/>
              </w:rPr>
            </w:pPr>
          </w:p>
        </w:tc>
        <w:tc>
          <w:tcPr>
            <w:tcW w:w="2977" w:type="dxa"/>
          </w:tcPr>
          <w:p w14:paraId="0E96682A" w14:textId="77777777" w:rsidR="00AA160C" w:rsidRPr="00AA160C" w:rsidRDefault="00AA160C" w:rsidP="00CD1A7F">
            <w:pPr>
              <w:ind w:left="0"/>
              <w:rPr>
                <w:rFonts w:asciiTheme="minorHAnsi" w:hAnsiTheme="minorHAnsi" w:cstheme="minorHAnsi"/>
                <w:bCs/>
                <w:lang w:eastAsia="zh-CN"/>
              </w:rPr>
            </w:pPr>
            <w:r w:rsidRPr="00AA160C">
              <w:rPr>
                <w:rFonts w:asciiTheme="minorHAnsi" w:hAnsiTheme="minorHAnsi" w:cstheme="minorHAnsi"/>
                <w:bCs/>
                <w:lang w:eastAsia="zh-CN"/>
              </w:rPr>
              <w:t>All costs and charges (included in the price or in addition to the price of the financial instrument) paid to product suppliers at the beginning or at the end of the investment in the financial instrument.</w:t>
            </w:r>
          </w:p>
          <w:p w14:paraId="3B26DA4A" w14:textId="77777777" w:rsidR="00AA160C" w:rsidRPr="00AA160C" w:rsidRDefault="00AA160C" w:rsidP="00CD1A7F">
            <w:pPr>
              <w:rPr>
                <w:rFonts w:asciiTheme="minorHAnsi" w:hAnsiTheme="minorHAnsi" w:cstheme="minorHAnsi"/>
                <w:lang w:eastAsia="zh-CN"/>
              </w:rPr>
            </w:pPr>
          </w:p>
        </w:tc>
        <w:tc>
          <w:tcPr>
            <w:tcW w:w="3180" w:type="dxa"/>
          </w:tcPr>
          <w:p w14:paraId="5C912A37" w14:textId="77777777" w:rsidR="00AA160C" w:rsidRPr="00AA160C" w:rsidRDefault="00AA160C" w:rsidP="00CD1A7F">
            <w:pPr>
              <w:ind w:left="0"/>
              <w:rPr>
                <w:rFonts w:asciiTheme="minorHAnsi" w:hAnsiTheme="minorHAnsi" w:cstheme="minorHAnsi"/>
                <w:bCs/>
                <w:lang w:eastAsia="zh-CN"/>
              </w:rPr>
            </w:pPr>
            <w:r w:rsidRPr="00AA160C">
              <w:rPr>
                <w:rFonts w:asciiTheme="minorHAnsi" w:hAnsiTheme="minorHAnsi" w:cstheme="minorHAnsi"/>
                <w:bCs/>
                <w:lang w:eastAsia="zh-CN"/>
              </w:rPr>
              <w:t>Front-loaded management fee</w:t>
            </w:r>
          </w:p>
          <w:p w14:paraId="480D57F2" w14:textId="69B1F302" w:rsidR="00AA160C" w:rsidRPr="00AA160C" w:rsidRDefault="00AA160C" w:rsidP="00CD1A7F">
            <w:pPr>
              <w:ind w:left="0"/>
              <w:rPr>
                <w:rFonts w:asciiTheme="minorHAnsi" w:hAnsiTheme="minorHAnsi" w:cstheme="minorHAnsi"/>
                <w:bCs/>
                <w:lang w:eastAsia="zh-CN"/>
              </w:rPr>
            </w:pPr>
            <w:r w:rsidRPr="00AA160C">
              <w:rPr>
                <w:rFonts w:asciiTheme="minorHAnsi" w:hAnsiTheme="minorHAnsi" w:cstheme="minorHAnsi"/>
                <w:bCs/>
                <w:lang w:eastAsia="zh-CN"/>
              </w:rPr>
              <w:t>Structuring fee (</w:t>
            </w:r>
            <w:r w:rsidRPr="00AA160C">
              <w:rPr>
                <w:rFonts w:asciiTheme="minorHAnsi" w:hAnsiTheme="minorHAnsi" w:cstheme="minorHAnsi"/>
              </w:rPr>
              <w:t xml:space="preserve">fees charged by manufacturers of structured investment products for structuring the products. They may cover a broader range of services provided by the </w:t>
            </w:r>
            <w:r w:rsidR="004C1176" w:rsidRPr="00AA160C">
              <w:rPr>
                <w:rFonts w:asciiTheme="minorHAnsi" w:hAnsiTheme="minorHAnsi" w:cstheme="minorHAnsi"/>
              </w:rPr>
              <w:t>manufacturer)</w:t>
            </w:r>
          </w:p>
          <w:p w14:paraId="42F3C232"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bCs/>
                <w:lang w:eastAsia="zh-CN"/>
              </w:rPr>
              <w:t>Distribution fee.</w:t>
            </w:r>
          </w:p>
        </w:tc>
      </w:tr>
      <w:tr w:rsidR="00AA160C" w:rsidRPr="00AA160C" w14:paraId="48533888" w14:textId="77777777" w:rsidTr="00CD1A7F">
        <w:trPr>
          <w:trHeight w:val="765"/>
        </w:trPr>
        <w:tc>
          <w:tcPr>
            <w:tcW w:w="2977" w:type="dxa"/>
            <w:hideMark/>
          </w:tcPr>
          <w:p w14:paraId="3A3E37A2"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On-going charges </w:t>
            </w:r>
          </w:p>
        </w:tc>
        <w:tc>
          <w:tcPr>
            <w:tcW w:w="2977" w:type="dxa"/>
            <w:hideMark/>
          </w:tcPr>
          <w:p w14:paraId="7FE918EA"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All on-going costs and charges related to the management of the financial product that are deducted from the value of the financial instrument during the investment in the financial instrument.</w:t>
            </w:r>
          </w:p>
        </w:tc>
        <w:tc>
          <w:tcPr>
            <w:tcW w:w="3180" w:type="dxa"/>
            <w:hideMark/>
          </w:tcPr>
          <w:p w14:paraId="2C6DCBC2"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Management fees, </w:t>
            </w:r>
          </w:p>
          <w:p w14:paraId="0B2EA9F8" w14:textId="6A4FB0BE" w:rsidR="00AA160C" w:rsidRPr="00AA160C" w:rsidRDefault="001F5422" w:rsidP="00CD1A7F">
            <w:pPr>
              <w:ind w:left="0"/>
              <w:rPr>
                <w:rFonts w:asciiTheme="minorHAnsi" w:hAnsiTheme="minorHAnsi" w:cstheme="minorHAnsi"/>
                <w:lang w:eastAsia="zh-CN"/>
              </w:rPr>
            </w:pPr>
            <w:r w:rsidRPr="00AA160C">
              <w:rPr>
                <w:rFonts w:asciiTheme="minorHAnsi" w:hAnsiTheme="minorHAnsi" w:cstheme="minorHAnsi"/>
                <w:lang w:eastAsia="zh-CN"/>
              </w:rPr>
              <w:t>Service</w:t>
            </w:r>
            <w:r w:rsidR="00AA160C" w:rsidRPr="00AA160C">
              <w:rPr>
                <w:rFonts w:asciiTheme="minorHAnsi" w:hAnsiTheme="minorHAnsi" w:cstheme="minorHAnsi"/>
                <w:lang w:eastAsia="zh-CN"/>
              </w:rPr>
              <w:t xml:space="preserve"> costs, </w:t>
            </w:r>
          </w:p>
          <w:p w14:paraId="183B566E" w14:textId="0E3C4843" w:rsidR="00AA160C" w:rsidRPr="00AA160C" w:rsidRDefault="001F5422" w:rsidP="00CD1A7F">
            <w:pPr>
              <w:ind w:left="0"/>
              <w:rPr>
                <w:rFonts w:asciiTheme="minorHAnsi" w:hAnsiTheme="minorHAnsi" w:cstheme="minorHAnsi"/>
                <w:lang w:eastAsia="zh-CN"/>
              </w:rPr>
            </w:pPr>
            <w:r w:rsidRPr="00AA160C">
              <w:rPr>
                <w:rFonts w:asciiTheme="minorHAnsi" w:hAnsiTheme="minorHAnsi" w:cstheme="minorHAnsi"/>
                <w:lang w:eastAsia="zh-CN"/>
              </w:rPr>
              <w:t>Swap</w:t>
            </w:r>
            <w:r w:rsidR="00AA160C" w:rsidRPr="00AA160C">
              <w:rPr>
                <w:rFonts w:asciiTheme="minorHAnsi" w:hAnsiTheme="minorHAnsi" w:cstheme="minorHAnsi"/>
                <w:lang w:eastAsia="zh-CN"/>
              </w:rPr>
              <w:t xml:space="preserve"> fees, </w:t>
            </w:r>
          </w:p>
          <w:p w14:paraId="376F6A71"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Securities lending costs and taxes, financing costs.</w:t>
            </w:r>
          </w:p>
        </w:tc>
      </w:tr>
      <w:tr w:rsidR="00AA160C" w:rsidRPr="00AA160C" w14:paraId="05F9515A" w14:textId="77777777" w:rsidTr="00CD1A7F">
        <w:trPr>
          <w:trHeight w:val="1020"/>
        </w:trPr>
        <w:tc>
          <w:tcPr>
            <w:tcW w:w="2977" w:type="dxa"/>
            <w:hideMark/>
          </w:tcPr>
          <w:p w14:paraId="3BAC9E2F"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All costs related to transactions</w:t>
            </w:r>
          </w:p>
        </w:tc>
        <w:tc>
          <w:tcPr>
            <w:tcW w:w="2977" w:type="dxa"/>
            <w:hideMark/>
          </w:tcPr>
          <w:p w14:paraId="683D56AD"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All costs and charges that incurred as a result of the acquisition and disposal of investments.</w:t>
            </w:r>
          </w:p>
        </w:tc>
        <w:tc>
          <w:tcPr>
            <w:tcW w:w="3180" w:type="dxa"/>
            <w:hideMark/>
          </w:tcPr>
          <w:p w14:paraId="14331061"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Broker commissions, </w:t>
            </w:r>
          </w:p>
          <w:p w14:paraId="06081170" w14:textId="39ACE0A5" w:rsidR="00AA160C" w:rsidRPr="00AA160C" w:rsidRDefault="001F5422" w:rsidP="00CD1A7F">
            <w:pPr>
              <w:ind w:left="0"/>
              <w:rPr>
                <w:rFonts w:asciiTheme="minorHAnsi" w:hAnsiTheme="minorHAnsi" w:cstheme="minorHAnsi"/>
                <w:lang w:eastAsia="zh-CN"/>
              </w:rPr>
            </w:pPr>
            <w:r w:rsidRPr="00AA160C">
              <w:rPr>
                <w:rFonts w:asciiTheme="minorHAnsi" w:hAnsiTheme="minorHAnsi" w:cstheme="minorHAnsi"/>
                <w:lang w:eastAsia="zh-CN"/>
              </w:rPr>
              <w:t>Entry</w:t>
            </w:r>
            <w:r w:rsidR="00AA160C" w:rsidRPr="00AA160C">
              <w:rPr>
                <w:rFonts w:asciiTheme="minorHAnsi" w:hAnsiTheme="minorHAnsi" w:cstheme="minorHAnsi"/>
                <w:lang w:eastAsia="zh-CN"/>
              </w:rPr>
              <w:t xml:space="preserve">- and exit charges paid by the fund, mark ups embedded in the transaction price, </w:t>
            </w:r>
          </w:p>
          <w:p w14:paraId="7E91B200" w14:textId="3832FD86" w:rsidR="00AA160C" w:rsidRPr="00AA160C" w:rsidRDefault="001F5422" w:rsidP="00CD1A7F">
            <w:pPr>
              <w:ind w:left="0"/>
              <w:rPr>
                <w:rFonts w:asciiTheme="minorHAnsi" w:hAnsiTheme="minorHAnsi" w:cstheme="minorHAnsi"/>
                <w:lang w:eastAsia="zh-CN"/>
              </w:rPr>
            </w:pPr>
            <w:r w:rsidRPr="00AA160C">
              <w:rPr>
                <w:rFonts w:asciiTheme="minorHAnsi" w:hAnsiTheme="minorHAnsi" w:cstheme="minorHAnsi"/>
                <w:lang w:eastAsia="zh-CN"/>
              </w:rPr>
              <w:t>Stamp</w:t>
            </w:r>
            <w:r w:rsidR="00AA160C" w:rsidRPr="00AA160C">
              <w:rPr>
                <w:rFonts w:asciiTheme="minorHAnsi" w:hAnsiTheme="minorHAnsi" w:cstheme="minorHAnsi"/>
                <w:lang w:eastAsia="zh-CN"/>
              </w:rPr>
              <w:t xml:space="preserve"> duty, </w:t>
            </w:r>
          </w:p>
          <w:p w14:paraId="3666B2AC" w14:textId="1734C085" w:rsidR="00AA160C" w:rsidRPr="00AA160C" w:rsidRDefault="001F5422" w:rsidP="00CD1A7F">
            <w:pPr>
              <w:ind w:left="0"/>
              <w:rPr>
                <w:rFonts w:asciiTheme="minorHAnsi" w:hAnsiTheme="minorHAnsi" w:cstheme="minorHAnsi"/>
                <w:lang w:eastAsia="zh-CN"/>
              </w:rPr>
            </w:pPr>
            <w:r w:rsidRPr="00AA160C">
              <w:rPr>
                <w:rFonts w:asciiTheme="minorHAnsi" w:hAnsiTheme="minorHAnsi" w:cstheme="minorHAnsi"/>
                <w:lang w:eastAsia="zh-CN"/>
              </w:rPr>
              <w:t>Transactions</w:t>
            </w:r>
            <w:r w:rsidR="00AA160C" w:rsidRPr="00AA160C">
              <w:rPr>
                <w:rFonts w:asciiTheme="minorHAnsi" w:hAnsiTheme="minorHAnsi" w:cstheme="minorHAnsi"/>
                <w:lang w:eastAsia="zh-CN"/>
              </w:rPr>
              <w:t xml:space="preserve"> tax</w:t>
            </w:r>
          </w:p>
          <w:p w14:paraId="1CE12FF3"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Foreign exchange costs.</w:t>
            </w:r>
          </w:p>
        </w:tc>
      </w:tr>
      <w:tr w:rsidR="00AA160C" w:rsidRPr="00AA160C" w14:paraId="1750B8C8" w14:textId="77777777" w:rsidTr="00CD1A7F">
        <w:trPr>
          <w:trHeight w:val="300"/>
        </w:trPr>
        <w:tc>
          <w:tcPr>
            <w:tcW w:w="2977" w:type="dxa"/>
            <w:hideMark/>
          </w:tcPr>
          <w:p w14:paraId="48B29587" w14:textId="77777777" w:rsidR="00AA160C" w:rsidRPr="00AA160C" w:rsidRDefault="00AA160C" w:rsidP="00CD1A7F">
            <w:pPr>
              <w:ind w:left="0"/>
              <w:rPr>
                <w:rFonts w:asciiTheme="minorHAnsi" w:hAnsiTheme="minorHAnsi" w:cstheme="minorHAnsi"/>
                <w:b/>
                <w:bCs/>
                <w:lang w:eastAsia="zh-CN"/>
              </w:rPr>
            </w:pPr>
            <w:r w:rsidRPr="00AA160C">
              <w:rPr>
                <w:rFonts w:asciiTheme="minorHAnsi" w:hAnsiTheme="minorHAnsi" w:cstheme="minorHAnsi"/>
                <w:b/>
                <w:bCs/>
                <w:lang w:eastAsia="zh-CN"/>
              </w:rPr>
              <w:t xml:space="preserve">Incidental costs </w:t>
            </w:r>
          </w:p>
        </w:tc>
        <w:tc>
          <w:tcPr>
            <w:tcW w:w="2977" w:type="dxa"/>
            <w:hideMark/>
          </w:tcPr>
          <w:p w14:paraId="061F3FDA" w14:textId="77777777" w:rsidR="00AA160C" w:rsidRPr="00AA160C" w:rsidRDefault="00AA160C" w:rsidP="00CD1A7F">
            <w:pPr>
              <w:rPr>
                <w:rFonts w:asciiTheme="minorHAnsi" w:hAnsiTheme="minorHAnsi" w:cstheme="minorHAnsi"/>
                <w:b/>
                <w:bCs/>
                <w:lang w:eastAsia="zh-CN"/>
              </w:rPr>
            </w:pPr>
          </w:p>
        </w:tc>
        <w:tc>
          <w:tcPr>
            <w:tcW w:w="3180" w:type="dxa"/>
            <w:hideMark/>
          </w:tcPr>
          <w:p w14:paraId="77E13F92" w14:textId="77777777" w:rsidR="00AA160C" w:rsidRPr="00AA160C" w:rsidRDefault="00AA160C" w:rsidP="00CD1A7F">
            <w:pPr>
              <w:ind w:left="0"/>
              <w:rPr>
                <w:rFonts w:asciiTheme="minorHAnsi" w:hAnsiTheme="minorHAnsi" w:cstheme="minorHAnsi"/>
                <w:lang w:eastAsia="zh-CN"/>
              </w:rPr>
            </w:pPr>
            <w:r w:rsidRPr="00AA160C">
              <w:rPr>
                <w:rFonts w:asciiTheme="minorHAnsi" w:hAnsiTheme="minorHAnsi" w:cstheme="minorHAnsi"/>
                <w:lang w:eastAsia="zh-CN"/>
              </w:rPr>
              <w:t xml:space="preserve">Performance fees </w:t>
            </w:r>
          </w:p>
        </w:tc>
      </w:tr>
    </w:tbl>
    <w:p w14:paraId="21224607" w14:textId="3CB132D9" w:rsidR="00C728FC" w:rsidRPr="00E2588C" w:rsidRDefault="00C728FC" w:rsidP="00C728FC">
      <w:pPr>
        <w:spacing w:after="160" w:line="259" w:lineRule="auto"/>
        <w:ind w:left="0"/>
        <w:rPr>
          <w:rFonts w:asciiTheme="minorHAnsi" w:eastAsia="SimSun" w:hAnsiTheme="minorHAnsi" w:cstheme="minorHAnsi"/>
          <w:b/>
          <w:i/>
          <w:sz w:val="20"/>
          <w:lang w:eastAsia="zh-CN"/>
        </w:rPr>
      </w:pPr>
      <w:r w:rsidRPr="00E2588C">
        <w:rPr>
          <w:rFonts w:asciiTheme="minorHAnsi" w:eastAsia="SimSun" w:hAnsiTheme="minorHAnsi" w:cstheme="minorHAnsi"/>
          <w:b/>
          <w:i/>
          <w:sz w:val="20"/>
          <w:lang w:eastAsia="zh-CN"/>
        </w:rPr>
        <w:t>T</w:t>
      </w:r>
      <w:r>
        <w:rPr>
          <w:rFonts w:asciiTheme="minorHAnsi" w:eastAsia="SimSun" w:hAnsiTheme="minorHAnsi" w:cstheme="minorHAnsi"/>
          <w:b/>
          <w:i/>
          <w:sz w:val="20"/>
          <w:lang w:eastAsia="zh-CN"/>
        </w:rPr>
        <w:t xml:space="preserve">able 2 </w:t>
      </w:r>
      <w:r w:rsidRPr="00E2588C">
        <w:rPr>
          <w:rFonts w:asciiTheme="minorHAnsi" w:eastAsia="SimSun" w:hAnsiTheme="minorHAnsi" w:cstheme="minorHAnsi"/>
          <w:b/>
          <w:i/>
          <w:sz w:val="20"/>
          <w:lang w:eastAsia="zh-CN"/>
        </w:rPr>
        <w:t xml:space="preserve">of Annex II of MiFID </w:t>
      </w:r>
      <w:r w:rsidR="00F84F58">
        <w:rPr>
          <w:rFonts w:asciiTheme="minorHAnsi" w:eastAsia="SimSun" w:hAnsiTheme="minorHAnsi" w:cstheme="minorHAnsi"/>
          <w:b/>
          <w:i/>
          <w:sz w:val="20"/>
          <w:lang w:eastAsia="zh-CN"/>
        </w:rPr>
        <w:t>D</w:t>
      </w:r>
      <w:r w:rsidRPr="00E2588C">
        <w:rPr>
          <w:rFonts w:asciiTheme="minorHAnsi" w:eastAsia="SimSun" w:hAnsiTheme="minorHAnsi" w:cstheme="minorHAnsi"/>
          <w:b/>
          <w:i/>
          <w:sz w:val="20"/>
          <w:lang w:eastAsia="zh-CN"/>
        </w:rPr>
        <w:t xml:space="preserve">elegated </w:t>
      </w:r>
      <w:r w:rsidR="00F84F58">
        <w:rPr>
          <w:rFonts w:asciiTheme="minorHAnsi" w:eastAsia="SimSun" w:hAnsiTheme="minorHAnsi" w:cstheme="minorHAnsi"/>
          <w:b/>
          <w:i/>
          <w:sz w:val="20"/>
          <w:lang w:eastAsia="zh-CN"/>
        </w:rPr>
        <w:t>R</w:t>
      </w:r>
      <w:r w:rsidRPr="00E2588C">
        <w:rPr>
          <w:rFonts w:asciiTheme="minorHAnsi" w:eastAsia="SimSun" w:hAnsiTheme="minorHAnsi" w:cstheme="minorHAnsi"/>
          <w:b/>
          <w:i/>
          <w:sz w:val="20"/>
          <w:lang w:eastAsia="zh-CN"/>
        </w:rPr>
        <w:t>egulation</w:t>
      </w:r>
    </w:p>
    <w:p w14:paraId="0ECD8423" w14:textId="77777777" w:rsidR="00AA160C" w:rsidRPr="00AA160C" w:rsidRDefault="00AA160C" w:rsidP="00AA160C">
      <w:pPr>
        <w:spacing w:after="160" w:line="259" w:lineRule="auto"/>
        <w:ind w:left="0"/>
        <w:rPr>
          <w:rFonts w:asciiTheme="minorHAnsi" w:hAnsiTheme="minorHAnsi"/>
        </w:rPr>
      </w:pPr>
    </w:p>
    <w:p w14:paraId="6F1C6591" w14:textId="7C723932" w:rsidR="00AA160C" w:rsidRDefault="00AA160C" w:rsidP="007D53AC">
      <w:pPr>
        <w:spacing w:line="276" w:lineRule="auto"/>
        <w:rPr>
          <w:rFonts w:asciiTheme="minorHAnsi" w:hAnsiTheme="minorHAnsi" w:cstheme="minorHAnsi"/>
        </w:rPr>
      </w:pPr>
      <w:r w:rsidRPr="00AA160C">
        <w:rPr>
          <w:rFonts w:asciiTheme="minorHAnsi" w:hAnsiTheme="minorHAnsi" w:cstheme="minorHAnsi"/>
        </w:rPr>
        <w:t xml:space="preserve">It should be noted that certain cost items appear in both tables but are not duplicative since they respectively refer to costs of the product and costs of the service. </w:t>
      </w:r>
      <w:r w:rsidR="00F84F58">
        <w:rPr>
          <w:rFonts w:asciiTheme="minorHAnsi" w:hAnsiTheme="minorHAnsi" w:cstheme="minorHAnsi"/>
          <w:b/>
        </w:rPr>
        <w:t xml:space="preserve"> </w:t>
      </w:r>
      <w:r w:rsidRPr="00331B33">
        <w:rPr>
          <w:rFonts w:asciiTheme="minorHAnsi" w:hAnsiTheme="minorHAnsi" w:cstheme="minorHAnsi"/>
        </w:rPr>
        <w:t xml:space="preserve">Examples </w:t>
      </w:r>
      <w:r w:rsidR="00F84F58" w:rsidRPr="00331B33">
        <w:rPr>
          <w:rFonts w:asciiTheme="minorHAnsi" w:hAnsiTheme="minorHAnsi" w:cstheme="minorHAnsi"/>
        </w:rPr>
        <w:t xml:space="preserve">of these </w:t>
      </w:r>
      <w:r w:rsidR="00F84F58">
        <w:rPr>
          <w:rFonts w:asciiTheme="minorHAnsi" w:hAnsiTheme="minorHAnsi" w:cstheme="minorHAnsi"/>
        </w:rPr>
        <w:t>include</w:t>
      </w:r>
      <w:r w:rsidRPr="00331B33">
        <w:rPr>
          <w:rFonts w:asciiTheme="minorHAnsi" w:hAnsiTheme="minorHAnsi" w:cstheme="minorHAnsi"/>
        </w:rPr>
        <w:t>:</w:t>
      </w:r>
    </w:p>
    <w:p w14:paraId="3832BAEA" w14:textId="77777777" w:rsidR="006B1F90" w:rsidRPr="00331B33" w:rsidRDefault="006B1F90" w:rsidP="00331B33">
      <w:pPr>
        <w:spacing w:line="276" w:lineRule="auto"/>
        <w:ind w:left="0"/>
        <w:rPr>
          <w:rFonts w:asciiTheme="minorHAnsi" w:hAnsiTheme="minorHAnsi" w:cstheme="minorHAnsi"/>
        </w:rPr>
      </w:pPr>
    </w:p>
    <w:p w14:paraId="2F716057" w14:textId="10AB7750" w:rsidR="00AA160C" w:rsidRPr="00331B33" w:rsidRDefault="00AA160C" w:rsidP="00331B33">
      <w:pPr>
        <w:pStyle w:val="ListParagraph"/>
        <w:numPr>
          <w:ilvl w:val="0"/>
          <w:numId w:val="54"/>
        </w:numPr>
        <w:spacing w:line="276" w:lineRule="auto"/>
        <w:rPr>
          <w:rFonts w:asciiTheme="minorHAnsi" w:hAnsiTheme="minorHAnsi" w:cstheme="minorHAnsi"/>
        </w:rPr>
      </w:pPr>
      <w:r w:rsidRPr="00331B33">
        <w:rPr>
          <w:rFonts w:asciiTheme="minorHAnsi" w:hAnsiTheme="minorHAnsi" w:cstheme="minorHAnsi"/>
        </w:rPr>
        <w:t xml:space="preserve">Management fees in </w:t>
      </w:r>
      <w:r w:rsidR="00F84F58" w:rsidRPr="00331B33">
        <w:rPr>
          <w:rFonts w:asciiTheme="minorHAnsi" w:hAnsiTheme="minorHAnsi" w:cstheme="minorHAnsi"/>
        </w:rPr>
        <w:t xml:space="preserve">Table </w:t>
      </w:r>
      <w:r w:rsidRPr="00331B33">
        <w:rPr>
          <w:rFonts w:asciiTheme="minorHAnsi" w:hAnsiTheme="minorHAnsi" w:cstheme="minorHAnsi"/>
        </w:rPr>
        <w:t>1</w:t>
      </w:r>
      <w:r w:rsidR="00F84F58" w:rsidRPr="00331B33">
        <w:rPr>
          <w:rFonts w:asciiTheme="minorHAnsi" w:hAnsiTheme="minorHAnsi" w:cstheme="minorHAnsi"/>
        </w:rPr>
        <w:t xml:space="preserve"> </w:t>
      </w:r>
      <w:r w:rsidR="004C1176" w:rsidRPr="00331B33">
        <w:rPr>
          <w:rFonts w:asciiTheme="minorHAnsi" w:hAnsiTheme="minorHAnsi" w:cstheme="minorHAnsi"/>
        </w:rPr>
        <w:t>- this</w:t>
      </w:r>
      <w:r w:rsidRPr="00331B33">
        <w:rPr>
          <w:rFonts w:asciiTheme="minorHAnsi" w:hAnsiTheme="minorHAnsi" w:cstheme="minorHAnsi"/>
        </w:rPr>
        <w:t xml:space="preserve"> refers to management fees charged by an investment firm providing the service of portfolio management to its clients while in Table 2 it refers to management fees charged by an investment fund manager to its investor. </w:t>
      </w:r>
    </w:p>
    <w:p w14:paraId="54BB1096" w14:textId="77777777" w:rsidR="006B1F90" w:rsidRDefault="006B1F90" w:rsidP="00331B33">
      <w:pPr>
        <w:spacing w:line="276" w:lineRule="auto"/>
        <w:rPr>
          <w:rFonts w:asciiTheme="minorHAnsi" w:hAnsiTheme="minorHAnsi" w:cstheme="minorHAnsi"/>
        </w:rPr>
      </w:pPr>
    </w:p>
    <w:p w14:paraId="5A0FAFC1" w14:textId="783D091D" w:rsidR="00AC64AE" w:rsidRPr="007D53AC" w:rsidRDefault="00AA160C" w:rsidP="00894AA2">
      <w:pPr>
        <w:pStyle w:val="ListParagraph"/>
        <w:numPr>
          <w:ilvl w:val="0"/>
          <w:numId w:val="54"/>
        </w:numPr>
        <w:spacing w:line="276" w:lineRule="auto"/>
        <w:jc w:val="both"/>
        <w:rPr>
          <w:rFonts w:asciiTheme="minorHAnsi" w:hAnsiTheme="minorHAnsi" w:cstheme="minorHAnsi"/>
        </w:rPr>
      </w:pPr>
      <w:r w:rsidRPr="00331B33">
        <w:rPr>
          <w:rFonts w:asciiTheme="minorHAnsi" w:hAnsiTheme="minorHAnsi" w:cstheme="minorHAnsi"/>
        </w:rPr>
        <w:lastRenderedPageBreak/>
        <w:t>Broker commissions in Table 1</w:t>
      </w:r>
      <w:r w:rsidR="00F84F58" w:rsidRPr="00331B33">
        <w:rPr>
          <w:rFonts w:asciiTheme="minorHAnsi" w:hAnsiTheme="minorHAnsi" w:cstheme="minorHAnsi"/>
        </w:rPr>
        <w:t xml:space="preserve"> -</w:t>
      </w:r>
      <w:r w:rsidRPr="00331B33">
        <w:rPr>
          <w:rFonts w:asciiTheme="minorHAnsi" w:hAnsiTheme="minorHAnsi" w:cstheme="minorHAnsi"/>
        </w:rPr>
        <w:t xml:space="preserve"> th</w:t>
      </w:r>
      <w:r w:rsidR="00F84F58" w:rsidRPr="00331B33">
        <w:rPr>
          <w:rFonts w:asciiTheme="minorHAnsi" w:hAnsiTheme="minorHAnsi" w:cstheme="minorHAnsi"/>
        </w:rPr>
        <w:t>is</w:t>
      </w:r>
      <w:r w:rsidRPr="00331B33">
        <w:rPr>
          <w:rFonts w:asciiTheme="minorHAnsi" w:hAnsiTheme="minorHAnsi" w:cstheme="minorHAnsi"/>
        </w:rPr>
        <w:t xml:space="preserve"> refer</w:t>
      </w:r>
      <w:r w:rsidR="00F84F58" w:rsidRPr="00331B33">
        <w:rPr>
          <w:rFonts w:asciiTheme="minorHAnsi" w:hAnsiTheme="minorHAnsi" w:cstheme="minorHAnsi"/>
        </w:rPr>
        <w:t>s</w:t>
      </w:r>
      <w:r w:rsidRPr="00331B33">
        <w:rPr>
          <w:rFonts w:asciiTheme="minorHAnsi" w:hAnsiTheme="minorHAnsi" w:cstheme="minorHAnsi"/>
        </w:rPr>
        <w:t xml:space="preserve"> to commissions incurred by the investment firm when trading on behalf of its clients while in Table 2 </w:t>
      </w:r>
      <w:r w:rsidR="00F84F58" w:rsidRPr="00331B33">
        <w:rPr>
          <w:rFonts w:asciiTheme="minorHAnsi" w:hAnsiTheme="minorHAnsi" w:cstheme="minorHAnsi"/>
        </w:rPr>
        <w:t xml:space="preserve">it </w:t>
      </w:r>
      <w:r w:rsidRPr="00331B33">
        <w:rPr>
          <w:rFonts w:asciiTheme="minorHAnsi" w:hAnsiTheme="minorHAnsi" w:cstheme="minorHAnsi"/>
        </w:rPr>
        <w:t>refer</w:t>
      </w:r>
      <w:r w:rsidR="00F84F58" w:rsidRPr="00331B33">
        <w:rPr>
          <w:rFonts w:asciiTheme="minorHAnsi" w:hAnsiTheme="minorHAnsi" w:cstheme="minorHAnsi"/>
        </w:rPr>
        <w:t>s</w:t>
      </w:r>
      <w:r w:rsidRPr="00331B33">
        <w:rPr>
          <w:rFonts w:asciiTheme="minorHAnsi" w:hAnsiTheme="minorHAnsi" w:cstheme="minorHAnsi"/>
        </w:rPr>
        <w:t xml:space="preserve"> to commissions paid by investment funds when trading on behalf of the fund.</w:t>
      </w:r>
    </w:p>
    <w:p w14:paraId="26D66DB6" w14:textId="77777777" w:rsidR="00AC64AE" w:rsidRPr="007D53AC" w:rsidRDefault="00AC64AE" w:rsidP="00894AA2">
      <w:pPr>
        <w:pStyle w:val="ListParagraph"/>
        <w:jc w:val="both"/>
        <w:rPr>
          <w:rFonts w:asciiTheme="minorHAnsi" w:hAnsiTheme="minorHAnsi" w:cstheme="minorHAnsi"/>
        </w:rPr>
      </w:pPr>
    </w:p>
    <w:p w14:paraId="10B386B2" w14:textId="67A66288" w:rsidR="00FB74CF" w:rsidRPr="00FB74CF" w:rsidRDefault="00FB74CF" w:rsidP="0087645C">
      <w:pPr>
        <w:pStyle w:val="Heading3"/>
        <w:ind w:left="567"/>
        <w:jc w:val="both"/>
      </w:pPr>
      <w:bookmarkStart w:id="134" w:name="_Toc366502059"/>
      <w:bookmarkStart w:id="135" w:name="_Toc369907838"/>
      <w:bookmarkStart w:id="136" w:name="_Toc370052356"/>
      <w:bookmarkStart w:id="137" w:name="_Toc372234504"/>
      <w:bookmarkStart w:id="138" w:name="_Toc395871032"/>
      <w:bookmarkStart w:id="139" w:name="_Toc409468199"/>
      <w:r w:rsidRPr="007D53AC">
        <w:rPr>
          <w:rFonts w:ascii="Calibri" w:hAnsi="Calibri"/>
          <w:color w:val="auto"/>
          <w:sz w:val="24"/>
          <w:szCs w:val="24"/>
          <w:lang w:val="en-GB"/>
        </w:rPr>
        <w:t>Charges Summary</w:t>
      </w:r>
      <w:bookmarkEnd w:id="134"/>
      <w:bookmarkEnd w:id="135"/>
      <w:bookmarkEnd w:id="136"/>
      <w:bookmarkEnd w:id="137"/>
      <w:bookmarkEnd w:id="138"/>
      <w:bookmarkEnd w:id="139"/>
    </w:p>
    <w:p w14:paraId="52431ACD" w14:textId="77777777" w:rsidR="00FB74CF" w:rsidRPr="00FB74CF" w:rsidRDefault="00FB74CF" w:rsidP="00894AA2">
      <w:pPr>
        <w:spacing w:line="276" w:lineRule="auto"/>
        <w:ind w:left="0"/>
        <w:jc w:val="both"/>
        <w:rPr>
          <w:rFonts w:asciiTheme="minorHAnsi" w:hAnsiTheme="minorHAnsi" w:cstheme="minorHAnsi"/>
        </w:rPr>
      </w:pPr>
    </w:p>
    <w:p w14:paraId="736816E4" w14:textId="69708E15" w:rsidR="00FB74CF" w:rsidRPr="00FB74CF" w:rsidRDefault="00FB74CF" w:rsidP="00894AA2">
      <w:pPr>
        <w:spacing w:line="276" w:lineRule="auto"/>
        <w:jc w:val="both"/>
        <w:rPr>
          <w:rFonts w:asciiTheme="minorHAnsi" w:hAnsiTheme="minorHAnsi" w:cstheme="minorHAnsi"/>
        </w:rPr>
      </w:pPr>
      <w:r w:rsidRPr="00FB74CF">
        <w:rPr>
          <w:rFonts w:asciiTheme="minorHAnsi" w:hAnsiTheme="minorHAnsi" w:cstheme="minorHAnsi"/>
        </w:rPr>
        <w:t xml:space="preserve">It is a mandatory requirement to show the aggregated totals of Product, Service and any </w:t>
      </w:r>
      <w:r w:rsidR="00621FE3">
        <w:rPr>
          <w:rFonts w:asciiTheme="minorHAnsi" w:hAnsiTheme="minorHAnsi" w:cstheme="minorHAnsi"/>
        </w:rPr>
        <w:t>T</w:t>
      </w:r>
      <w:r w:rsidRPr="00FB74CF">
        <w:rPr>
          <w:rFonts w:asciiTheme="minorHAnsi" w:hAnsiTheme="minorHAnsi" w:cstheme="minorHAnsi"/>
        </w:rPr>
        <w:t xml:space="preserve">hird party payments received. These figures must be shown as both a percentage amount, and currency/monetary figure. </w:t>
      </w:r>
    </w:p>
    <w:p w14:paraId="7B4322A9" w14:textId="77777777" w:rsidR="00FB74CF" w:rsidRPr="00FB74CF" w:rsidRDefault="00FB74CF" w:rsidP="00894AA2">
      <w:pPr>
        <w:spacing w:line="276" w:lineRule="auto"/>
        <w:jc w:val="both"/>
        <w:rPr>
          <w:rFonts w:asciiTheme="minorHAnsi" w:hAnsiTheme="minorHAnsi" w:cstheme="minorHAnsi"/>
        </w:rPr>
      </w:pPr>
    </w:p>
    <w:p w14:paraId="59959492" w14:textId="0B450E85" w:rsidR="00FB74CF" w:rsidRPr="00FB74CF" w:rsidRDefault="00FB74CF" w:rsidP="00894AA2">
      <w:pPr>
        <w:spacing w:line="276" w:lineRule="auto"/>
        <w:jc w:val="both"/>
        <w:rPr>
          <w:rFonts w:asciiTheme="minorHAnsi" w:hAnsiTheme="minorHAnsi" w:cstheme="minorHAnsi"/>
        </w:rPr>
      </w:pPr>
      <w:r w:rsidRPr="00FB74CF">
        <w:rPr>
          <w:rFonts w:asciiTheme="minorHAnsi" w:hAnsiTheme="minorHAnsi" w:cstheme="minorHAnsi"/>
        </w:rPr>
        <w:t>The ESMA</w:t>
      </w:r>
      <w:r w:rsidR="00621FE3">
        <w:rPr>
          <w:rFonts w:asciiTheme="minorHAnsi" w:hAnsiTheme="minorHAnsi" w:cstheme="minorHAnsi"/>
        </w:rPr>
        <w:t xml:space="preserve"> Investor Protection</w:t>
      </w:r>
      <w:r w:rsidRPr="00FB74CF">
        <w:rPr>
          <w:rFonts w:asciiTheme="minorHAnsi" w:hAnsiTheme="minorHAnsi" w:cstheme="minorHAnsi"/>
        </w:rPr>
        <w:t xml:space="preserve"> Q&amp;A Q.13 offers additional guidance on the Charges Summary</w:t>
      </w:r>
      <w:r w:rsidR="00450A90">
        <w:rPr>
          <w:rFonts w:asciiTheme="minorHAnsi" w:hAnsiTheme="minorHAnsi" w:cstheme="minorHAnsi"/>
        </w:rPr>
        <w:t>.</w:t>
      </w:r>
      <w:r w:rsidRPr="00FB74CF">
        <w:rPr>
          <w:rFonts w:asciiTheme="minorHAnsi" w:hAnsiTheme="minorHAnsi" w:cstheme="minorHAnsi"/>
        </w:rPr>
        <w:t xml:space="preserve"> </w:t>
      </w:r>
    </w:p>
    <w:p w14:paraId="5A718386" w14:textId="77777777" w:rsidR="00FB74CF" w:rsidRPr="00FB74CF" w:rsidRDefault="00FB74CF" w:rsidP="00894AA2">
      <w:pPr>
        <w:spacing w:line="276" w:lineRule="auto"/>
        <w:jc w:val="both"/>
        <w:rPr>
          <w:rFonts w:asciiTheme="minorHAnsi" w:hAnsiTheme="minorHAnsi" w:cstheme="minorHAnsi"/>
        </w:rPr>
      </w:pPr>
    </w:p>
    <w:p w14:paraId="4FCF8764" w14:textId="77777777" w:rsidR="00FB74CF" w:rsidRPr="007D53AC" w:rsidRDefault="00FB74CF" w:rsidP="00894AA2">
      <w:pPr>
        <w:spacing w:line="276" w:lineRule="auto"/>
        <w:jc w:val="both"/>
        <w:rPr>
          <w:rFonts w:asciiTheme="minorHAnsi" w:hAnsiTheme="minorHAnsi" w:cstheme="minorHAnsi"/>
          <w:b/>
        </w:rPr>
      </w:pPr>
      <w:r w:rsidRPr="007D53AC">
        <w:rPr>
          <w:rFonts w:asciiTheme="minorHAnsi" w:hAnsiTheme="minorHAnsi" w:cstheme="minorHAnsi"/>
          <w:b/>
        </w:rPr>
        <w:t xml:space="preserve">Question 13 [Last update: 6 June 2017] </w:t>
      </w:r>
    </w:p>
    <w:p w14:paraId="6789EDC1" w14:textId="77777777" w:rsidR="00FB74CF" w:rsidRPr="00FB74CF" w:rsidRDefault="00FB74CF" w:rsidP="00894AA2">
      <w:pPr>
        <w:spacing w:line="276" w:lineRule="auto"/>
        <w:jc w:val="both"/>
        <w:rPr>
          <w:rFonts w:asciiTheme="minorHAnsi" w:hAnsiTheme="minorHAnsi" w:cstheme="minorHAnsi"/>
        </w:rPr>
      </w:pPr>
    </w:p>
    <w:p w14:paraId="3172EA91" w14:textId="77777777" w:rsidR="00FB74CF" w:rsidRPr="007D53AC" w:rsidRDefault="00FB74CF" w:rsidP="00894AA2">
      <w:pPr>
        <w:spacing w:line="276" w:lineRule="auto"/>
        <w:jc w:val="both"/>
        <w:rPr>
          <w:rFonts w:asciiTheme="minorHAnsi" w:hAnsiTheme="minorHAnsi" w:cstheme="minorHAnsi"/>
          <w:i/>
        </w:rPr>
      </w:pPr>
      <w:r w:rsidRPr="007D53AC">
        <w:rPr>
          <w:rFonts w:asciiTheme="minorHAnsi" w:hAnsiTheme="minorHAnsi" w:cstheme="minorHAnsi"/>
          <w:i/>
        </w:rPr>
        <w:t xml:space="preserve">When providing information of costs and charges to clients, on which basis should costs be aggregated? What is the level of aggregation that firms need to apply? </w:t>
      </w:r>
    </w:p>
    <w:p w14:paraId="209D9445" w14:textId="77777777" w:rsidR="00FB74CF" w:rsidRPr="00FB74CF" w:rsidRDefault="00FB74CF" w:rsidP="00894AA2">
      <w:pPr>
        <w:spacing w:line="276" w:lineRule="auto"/>
        <w:jc w:val="both"/>
        <w:rPr>
          <w:rFonts w:asciiTheme="minorHAnsi" w:hAnsiTheme="minorHAnsi" w:cstheme="minorHAnsi"/>
        </w:rPr>
      </w:pPr>
    </w:p>
    <w:p w14:paraId="584DDB81" w14:textId="77777777" w:rsidR="00FB74CF" w:rsidRPr="007D53AC" w:rsidRDefault="00FB74CF" w:rsidP="00894AA2">
      <w:pPr>
        <w:spacing w:line="276" w:lineRule="auto"/>
        <w:jc w:val="both"/>
        <w:rPr>
          <w:rFonts w:asciiTheme="minorHAnsi" w:hAnsiTheme="minorHAnsi" w:cstheme="minorHAnsi"/>
          <w:b/>
        </w:rPr>
      </w:pPr>
      <w:r w:rsidRPr="007D53AC">
        <w:rPr>
          <w:rFonts w:asciiTheme="minorHAnsi" w:hAnsiTheme="minorHAnsi" w:cstheme="minorHAnsi"/>
          <w:b/>
        </w:rPr>
        <w:t xml:space="preserve">Answer 13 </w:t>
      </w:r>
    </w:p>
    <w:p w14:paraId="310B2F53" w14:textId="77777777" w:rsidR="00F33E90" w:rsidRDefault="00FB74CF" w:rsidP="00894AA2">
      <w:pPr>
        <w:spacing w:line="276" w:lineRule="auto"/>
        <w:jc w:val="both"/>
        <w:rPr>
          <w:rFonts w:asciiTheme="minorHAnsi" w:hAnsiTheme="minorHAnsi" w:cstheme="minorHAnsi"/>
        </w:rPr>
      </w:pPr>
      <w:r w:rsidRPr="00FB74CF">
        <w:rPr>
          <w:rFonts w:asciiTheme="minorHAnsi" w:hAnsiTheme="minorHAnsi" w:cstheme="minorHAnsi"/>
        </w:rPr>
        <w:t>“In accordance with article 24(4) MiFID II and article 50(2) of the MiFID II Delegated Regulation, firms shall aggregate costs and charges in connection with the investment service and costs and charges associated with the financial instruments. Third party payments received by investment firms in connection with the investment service provided to a client shall be itemised separately. The aggregated costs and charges shall be totalled and expressed both as a cash amount and as a percentage. The following example shows the cost figures that are to be disclosed”</w:t>
      </w:r>
    </w:p>
    <w:p w14:paraId="0906AA33" w14:textId="77777777" w:rsidR="00F33E90" w:rsidRDefault="00F33E90" w:rsidP="007D53AC">
      <w:pPr>
        <w:spacing w:line="276" w:lineRule="auto"/>
        <w:rPr>
          <w:rFonts w:asciiTheme="minorHAnsi" w:hAnsiTheme="minorHAnsi" w:cstheme="minorHAnsi"/>
        </w:rPr>
      </w:pPr>
    </w:p>
    <w:p w14:paraId="138C3C41" w14:textId="75D660CE" w:rsidR="00F33E90" w:rsidRDefault="00F33E90" w:rsidP="007D53AC">
      <w:pPr>
        <w:spacing w:line="276" w:lineRule="auto"/>
        <w:rPr>
          <w:rFonts w:asciiTheme="minorHAnsi" w:hAnsiTheme="minorHAnsi" w:cstheme="minorHAnsi"/>
        </w:rPr>
      </w:pPr>
      <w:r>
        <w:rPr>
          <w:rFonts w:asciiTheme="minorHAnsi" w:hAnsiTheme="minorHAnsi" w:cstheme="minorHAnsi"/>
          <w:noProof/>
        </w:rPr>
        <w:drawing>
          <wp:inline distT="0" distB="0" distL="0" distR="0" wp14:anchorId="06E757CF" wp14:editId="189A630B">
            <wp:extent cx="4383405" cy="1036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3405" cy="1036320"/>
                    </a:xfrm>
                    <a:prstGeom prst="rect">
                      <a:avLst/>
                    </a:prstGeom>
                    <a:noFill/>
                  </pic:spPr>
                </pic:pic>
              </a:graphicData>
            </a:graphic>
          </wp:inline>
        </w:drawing>
      </w:r>
    </w:p>
    <w:p w14:paraId="05F05751" w14:textId="77777777" w:rsidR="00F33E90" w:rsidRDefault="00F33E90" w:rsidP="00F33E90">
      <w:pPr>
        <w:spacing w:line="276" w:lineRule="auto"/>
        <w:ind w:left="0"/>
        <w:rPr>
          <w:rFonts w:asciiTheme="minorHAnsi" w:hAnsiTheme="minorHAnsi" w:cstheme="minorHAnsi"/>
        </w:rPr>
      </w:pPr>
    </w:p>
    <w:p w14:paraId="2DFA5E99" w14:textId="31DDAFFF" w:rsidR="00F33E90" w:rsidRPr="007D53AC" w:rsidRDefault="00CA2382" w:rsidP="007D53AC">
      <w:pPr>
        <w:spacing w:line="276" w:lineRule="auto"/>
        <w:rPr>
          <w:rFonts w:asciiTheme="minorHAnsi" w:hAnsiTheme="minorHAnsi" w:cstheme="minorHAnsi"/>
          <w:b/>
        </w:rPr>
      </w:pPr>
      <w:r>
        <w:rPr>
          <w:rFonts w:asciiTheme="minorHAnsi" w:hAnsiTheme="minorHAnsi" w:cstheme="minorHAnsi"/>
          <w:b/>
        </w:rPr>
        <w:t>Third</w:t>
      </w:r>
      <w:r w:rsidR="00F33E90">
        <w:rPr>
          <w:rFonts w:asciiTheme="minorHAnsi" w:hAnsiTheme="minorHAnsi" w:cstheme="minorHAnsi"/>
          <w:b/>
        </w:rPr>
        <w:t>-</w:t>
      </w:r>
      <w:r w:rsidR="00F33E90" w:rsidRPr="007D53AC">
        <w:rPr>
          <w:rFonts w:asciiTheme="minorHAnsi" w:hAnsiTheme="minorHAnsi" w:cstheme="minorHAnsi"/>
          <w:b/>
        </w:rPr>
        <w:t>Party Payments</w:t>
      </w:r>
    </w:p>
    <w:p w14:paraId="790BEE2B" w14:textId="77777777" w:rsidR="00F33E90" w:rsidRPr="00F33E90" w:rsidRDefault="00F33E90" w:rsidP="00894AA2">
      <w:pPr>
        <w:spacing w:line="276" w:lineRule="auto"/>
        <w:ind w:left="0"/>
        <w:jc w:val="both"/>
        <w:rPr>
          <w:rFonts w:asciiTheme="minorHAnsi" w:hAnsiTheme="minorHAnsi" w:cstheme="minorHAnsi"/>
        </w:rPr>
      </w:pPr>
    </w:p>
    <w:p w14:paraId="59BCD89D" w14:textId="77777777" w:rsidR="00F33E90" w:rsidRPr="00F33E90" w:rsidRDefault="00F33E90" w:rsidP="00894AA2">
      <w:pPr>
        <w:spacing w:line="276" w:lineRule="auto"/>
        <w:jc w:val="both"/>
        <w:rPr>
          <w:rFonts w:asciiTheme="minorHAnsi" w:hAnsiTheme="minorHAnsi" w:cstheme="minorHAnsi"/>
        </w:rPr>
      </w:pPr>
      <w:r w:rsidRPr="00F33E90">
        <w:rPr>
          <w:rFonts w:asciiTheme="minorHAnsi" w:hAnsiTheme="minorHAnsi" w:cstheme="minorHAnsi"/>
        </w:rPr>
        <w:t>“Third Party payments received by investment firms or other parties in connection with the investment service provided to a client shall be itemised separately and the aggregated costs and charges shall be totalled and expressed both as a cash amount and as a percentage”</w:t>
      </w:r>
    </w:p>
    <w:p w14:paraId="3CCED594" w14:textId="77777777" w:rsidR="00F33E90" w:rsidRPr="00F33E90" w:rsidRDefault="00F33E90" w:rsidP="00894AA2">
      <w:pPr>
        <w:spacing w:line="276" w:lineRule="auto"/>
        <w:jc w:val="both"/>
        <w:rPr>
          <w:rFonts w:asciiTheme="minorHAnsi" w:hAnsiTheme="minorHAnsi" w:cstheme="minorHAnsi"/>
        </w:rPr>
      </w:pPr>
    </w:p>
    <w:p w14:paraId="65E460BC" w14:textId="7BA2FF42" w:rsidR="00F33E90" w:rsidRDefault="00F33E90" w:rsidP="00894AA2">
      <w:pPr>
        <w:pStyle w:val="ListParagraph"/>
        <w:numPr>
          <w:ilvl w:val="0"/>
          <w:numId w:val="54"/>
        </w:numPr>
        <w:spacing w:line="276" w:lineRule="auto"/>
        <w:jc w:val="both"/>
        <w:rPr>
          <w:rFonts w:asciiTheme="minorHAnsi" w:hAnsiTheme="minorHAnsi" w:cstheme="minorHAnsi"/>
        </w:rPr>
      </w:pPr>
      <w:r w:rsidRPr="007D53AC">
        <w:rPr>
          <w:rFonts w:asciiTheme="minorHAnsi" w:hAnsiTheme="minorHAnsi" w:cstheme="minorHAnsi"/>
        </w:rPr>
        <w:t xml:space="preserve">This typically relates to retrocession or commission payments received by the investment firm. An Ex-Ante template produced by a distributor is more likely to have items within this category than a product manufacturer as the product </w:t>
      </w:r>
      <w:r w:rsidRPr="007D53AC">
        <w:rPr>
          <w:rFonts w:asciiTheme="minorHAnsi" w:hAnsiTheme="minorHAnsi" w:cstheme="minorHAnsi"/>
        </w:rPr>
        <w:lastRenderedPageBreak/>
        <w:t xml:space="preserve">manufacturer pays retrocession, whilst the product distributor receives retrocession. </w:t>
      </w:r>
    </w:p>
    <w:p w14:paraId="1619EA9E" w14:textId="77777777" w:rsidR="00F33E90" w:rsidRPr="007D53AC" w:rsidRDefault="00F33E90" w:rsidP="00894AA2">
      <w:pPr>
        <w:pStyle w:val="ListParagraph"/>
        <w:spacing w:line="276" w:lineRule="auto"/>
        <w:ind w:left="1440"/>
        <w:jc w:val="both"/>
        <w:rPr>
          <w:rFonts w:asciiTheme="minorHAnsi" w:hAnsiTheme="minorHAnsi" w:cstheme="minorHAnsi"/>
        </w:rPr>
      </w:pPr>
    </w:p>
    <w:p w14:paraId="54320F65" w14:textId="52F154AB" w:rsidR="00FB74CF" w:rsidRPr="007D53AC" w:rsidRDefault="00F33E90" w:rsidP="00894AA2">
      <w:pPr>
        <w:pStyle w:val="ListParagraph"/>
        <w:numPr>
          <w:ilvl w:val="0"/>
          <w:numId w:val="54"/>
        </w:numPr>
        <w:spacing w:line="276" w:lineRule="auto"/>
        <w:jc w:val="both"/>
        <w:rPr>
          <w:rFonts w:asciiTheme="minorHAnsi" w:hAnsiTheme="minorHAnsi" w:cstheme="minorHAnsi"/>
        </w:rPr>
      </w:pPr>
      <w:r w:rsidRPr="007D53AC">
        <w:rPr>
          <w:rFonts w:asciiTheme="minorHAnsi" w:hAnsiTheme="minorHAnsi" w:cstheme="minorHAnsi"/>
        </w:rPr>
        <w:t>An Ex-Ante disclosure would contain generic cost percentages to be added to the illustration. Care must be taken not to double-count any costs in both the third party Cost category as well as the Product Cost bucket.</w:t>
      </w:r>
      <w:r w:rsidR="00FB74CF" w:rsidRPr="007D53AC">
        <w:rPr>
          <w:rFonts w:asciiTheme="minorHAnsi" w:hAnsiTheme="minorHAnsi" w:cstheme="minorHAnsi"/>
        </w:rPr>
        <w:tab/>
      </w:r>
    </w:p>
    <w:p w14:paraId="1F856617" w14:textId="77777777" w:rsidR="00FB74CF" w:rsidRPr="00FB74CF" w:rsidRDefault="00FB74CF" w:rsidP="00FB74CF">
      <w:pPr>
        <w:spacing w:line="276" w:lineRule="auto"/>
        <w:ind w:left="0"/>
        <w:rPr>
          <w:rFonts w:asciiTheme="minorHAnsi" w:hAnsiTheme="minorHAnsi" w:cstheme="minorHAnsi"/>
        </w:rPr>
      </w:pPr>
      <w:r w:rsidRPr="00FB74CF">
        <w:rPr>
          <w:rFonts w:asciiTheme="minorHAnsi" w:hAnsiTheme="minorHAnsi" w:cstheme="minorHAnsi"/>
        </w:rPr>
        <w:tab/>
      </w:r>
      <w:r w:rsidRPr="00FB74CF">
        <w:rPr>
          <w:rFonts w:asciiTheme="minorHAnsi" w:hAnsiTheme="minorHAnsi" w:cstheme="minorHAnsi"/>
        </w:rPr>
        <w:tab/>
      </w:r>
    </w:p>
    <w:p w14:paraId="5BAA565F" w14:textId="77777777" w:rsidR="00FB74CF" w:rsidRPr="00FB74CF" w:rsidRDefault="00FB74CF" w:rsidP="00FB74CF">
      <w:pPr>
        <w:spacing w:line="276" w:lineRule="auto"/>
        <w:ind w:left="0"/>
        <w:rPr>
          <w:rFonts w:asciiTheme="minorHAnsi" w:hAnsiTheme="minorHAnsi" w:cstheme="minorHAnsi"/>
        </w:rPr>
      </w:pPr>
      <w:r w:rsidRPr="00FB74CF">
        <w:rPr>
          <w:rFonts w:asciiTheme="minorHAnsi" w:hAnsiTheme="minorHAnsi" w:cstheme="minorHAnsi"/>
        </w:rPr>
        <w:tab/>
      </w:r>
    </w:p>
    <w:p w14:paraId="57C6F7C9" w14:textId="30C0686F" w:rsidR="00FB74CF" w:rsidRPr="007D53AC" w:rsidRDefault="00FB74CF" w:rsidP="007D53AC">
      <w:pPr>
        <w:spacing w:line="276" w:lineRule="auto"/>
        <w:ind w:left="0"/>
        <w:rPr>
          <w:rFonts w:asciiTheme="minorHAnsi" w:hAnsiTheme="minorHAnsi" w:cstheme="minorHAnsi"/>
        </w:rPr>
      </w:pPr>
      <w:r w:rsidRPr="00FB74CF">
        <w:rPr>
          <w:rFonts w:asciiTheme="minorHAnsi" w:hAnsiTheme="minorHAnsi" w:cstheme="minorHAnsi"/>
        </w:rPr>
        <w:tab/>
      </w:r>
      <w:r w:rsidRPr="00FB74CF">
        <w:rPr>
          <w:rFonts w:asciiTheme="minorHAnsi" w:hAnsiTheme="minorHAnsi" w:cstheme="minorHAnsi"/>
        </w:rPr>
        <w:tab/>
      </w:r>
    </w:p>
    <w:p w14:paraId="2765660D" w14:textId="7808C4D4" w:rsidR="00E51D7D" w:rsidRDefault="00E51D7D" w:rsidP="00331B33">
      <w:pPr>
        <w:autoSpaceDE w:val="0"/>
        <w:autoSpaceDN w:val="0"/>
        <w:adjustRightInd w:val="0"/>
        <w:spacing w:line="276" w:lineRule="auto"/>
        <w:ind w:left="0"/>
        <w:rPr>
          <w:rFonts w:asciiTheme="minorHAnsi" w:hAnsiTheme="minorHAnsi"/>
          <w:lang w:val="en-GB"/>
        </w:rPr>
      </w:pPr>
      <w:r>
        <w:rPr>
          <w:rFonts w:asciiTheme="minorHAnsi" w:hAnsiTheme="minorHAnsi"/>
          <w:lang w:val="en-GB"/>
        </w:rPr>
        <w:br w:type="page"/>
      </w:r>
    </w:p>
    <w:p w14:paraId="660118BF" w14:textId="4489DA16" w:rsidR="004A1818" w:rsidRPr="006F3EFC" w:rsidRDefault="005350C4" w:rsidP="006F3EFC">
      <w:pPr>
        <w:pStyle w:val="Heading1"/>
        <w:rPr>
          <w:rFonts w:ascii="Calibri" w:hAnsi="Calibri"/>
          <w:b/>
          <w:bCs/>
          <w:color w:val="auto"/>
          <w:sz w:val="28"/>
          <w:szCs w:val="28"/>
        </w:rPr>
      </w:pPr>
      <w:bookmarkStart w:id="140" w:name="_Toc364001869"/>
      <w:bookmarkStart w:id="141" w:name="_Toc366502060"/>
      <w:bookmarkStart w:id="142" w:name="_Toc369907839"/>
      <w:bookmarkStart w:id="143" w:name="_Toc370052357"/>
      <w:bookmarkStart w:id="144" w:name="_Toc372234505"/>
      <w:bookmarkStart w:id="145" w:name="_Toc395871033"/>
      <w:bookmarkStart w:id="146" w:name="_Toc409468200"/>
      <w:bookmarkStart w:id="147" w:name="_Toc364343120"/>
      <w:bookmarkStart w:id="148" w:name="_Toc364343307"/>
      <w:bookmarkStart w:id="149" w:name="_Toc364343666"/>
      <w:bookmarkStart w:id="150" w:name="_Toc364635730"/>
      <w:bookmarkStart w:id="151" w:name="_Toc364636122"/>
      <w:bookmarkStart w:id="152" w:name="_Toc364636558"/>
      <w:r w:rsidRPr="006F3EFC">
        <w:rPr>
          <w:rFonts w:ascii="Calibri" w:hAnsi="Calibri"/>
          <w:b/>
          <w:bCs/>
          <w:color w:val="auto"/>
          <w:sz w:val="28"/>
          <w:szCs w:val="28"/>
        </w:rPr>
        <w:lastRenderedPageBreak/>
        <w:t>Ex</w:t>
      </w:r>
      <w:r w:rsidR="00180AA4">
        <w:rPr>
          <w:rFonts w:ascii="Calibri" w:hAnsi="Calibri"/>
          <w:b/>
          <w:bCs/>
          <w:color w:val="auto"/>
          <w:sz w:val="28"/>
          <w:szCs w:val="28"/>
        </w:rPr>
        <w:t>-</w:t>
      </w:r>
      <w:r w:rsidRPr="006F3EFC">
        <w:rPr>
          <w:rFonts w:ascii="Calibri" w:hAnsi="Calibri"/>
          <w:b/>
          <w:bCs/>
          <w:color w:val="auto"/>
          <w:sz w:val="28"/>
          <w:szCs w:val="28"/>
        </w:rPr>
        <w:t xml:space="preserve">Ante Costs </w:t>
      </w:r>
      <w:r w:rsidR="00851F2F">
        <w:rPr>
          <w:rFonts w:ascii="Calibri" w:hAnsi="Calibri"/>
          <w:b/>
          <w:bCs/>
          <w:color w:val="auto"/>
          <w:sz w:val="28"/>
          <w:szCs w:val="28"/>
        </w:rPr>
        <w:t>and</w:t>
      </w:r>
      <w:r w:rsidR="00851F2F" w:rsidRPr="006F3EFC">
        <w:rPr>
          <w:rFonts w:ascii="Calibri" w:hAnsi="Calibri"/>
          <w:b/>
          <w:bCs/>
          <w:color w:val="auto"/>
          <w:sz w:val="28"/>
          <w:szCs w:val="28"/>
        </w:rPr>
        <w:t xml:space="preserve"> </w:t>
      </w:r>
      <w:r w:rsidRPr="006F3EFC">
        <w:rPr>
          <w:rFonts w:ascii="Calibri" w:hAnsi="Calibri"/>
          <w:b/>
          <w:bCs/>
          <w:color w:val="auto"/>
          <w:sz w:val="28"/>
          <w:szCs w:val="28"/>
        </w:rPr>
        <w:t>Charges Disclosure</w:t>
      </w:r>
      <w:bookmarkEnd w:id="140"/>
      <w:bookmarkEnd w:id="141"/>
      <w:bookmarkEnd w:id="142"/>
      <w:bookmarkEnd w:id="143"/>
      <w:bookmarkEnd w:id="144"/>
      <w:bookmarkEnd w:id="145"/>
      <w:bookmarkEnd w:id="146"/>
      <w:r w:rsidR="003311A6">
        <w:rPr>
          <w:rFonts w:ascii="Calibri" w:hAnsi="Calibri"/>
          <w:b/>
          <w:bCs/>
          <w:color w:val="auto"/>
          <w:sz w:val="28"/>
          <w:szCs w:val="28"/>
        </w:rPr>
        <w:t xml:space="preserve"> </w:t>
      </w:r>
      <w:bookmarkEnd w:id="147"/>
      <w:bookmarkEnd w:id="148"/>
      <w:bookmarkEnd w:id="149"/>
      <w:bookmarkEnd w:id="150"/>
      <w:bookmarkEnd w:id="151"/>
      <w:bookmarkEnd w:id="152"/>
    </w:p>
    <w:p w14:paraId="531F569D" w14:textId="77777777" w:rsidR="004A1818" w:rsidRPr="006F3EFC" w:rsidRDefault="004A1818" w:rsidP="004A1818">
      <w:pPr>
        <w:ind w:left="270"/>
        <w:rPr>
          <w:rFonts w:asciiTheme="minorHAnsi" w:hAnsiTheme="minorHAnsi" w:cs="Segoe UI"/>
          <w:sz w:val="20"/>
        </w:rPr>
      </w:pPr>
    </w:p>
    <w:p w14:paraId="744AAF35" w14:textId="4FC515A2" w:rsidR="004A1818" w:rsidRPr="006F3EFC" w:rsidRDefault="00F70D90" w:rsidP="004A1818">
      <w:pPr>
        <w:pStyle w:val="Heading2"/>
        <w:keepLines w:val="0"/>
        <w:widowControl w:val="0"/>
        <w:tabs>
          <w:tab w:val="num" w:pos="592"/>
        </w:tabs>
        <w:adjustRightInd w:val="0"/>
        <w:spacing w:before="240" w:after="60" w:line="360" w:lineRule="atLeast"/>
        <w:ind w:left="592" w:hanging="592"/>
        <w:jc w:val="both"/>
        <w:textAlignment w:val="baseline"/>
        <w:rPr>
          <w:rFonts w:asciiTheme="minorHAnsi" w:hAnsiTheme="minorHAnsi"/>
          <w:sz w:val="20"/>
        </w:rPr>
      </w:pPr>
      <w:bookmarkStart w:id="153" w:name="_Toc358710385"/>
      <w:bookmarkStart w:id="154" w:name="_Toc413142912"/>
      <w:bookmarkStart w:id="155" w:name="_Toc413145329"/>
      <w:bookmarkStart w:id="156" w:name="_Toc413146623"/>
      <w:bookmarkStart w:id="157" w:name="_Toc413142913"/>
      <w:bookmarkStart w:id="158" w:name="_Toc413145330"/>
      <w:bookmarkStart w:id="159" w:name="_Toc413146624"/>
      <w:bookmarkStart w:id="160" w:name="_Toc413142915"/>
      <w:bookmarkStart w:id="161" w:name="_Toc413145332"/>
      <w:bookmarkStart w:id="162" w:name="_Toc413146626"/>
      <w:bookmarkStart w:id="163" w:name="_Toc413142917"/>
      <w:bookmarkStart w:id="164" w:name="_Toc413145334"/>
      <w:bookmarkStart w:id="165" w:name="_Toc413146628"/>
      <w:bookmarkStart w:id="166" w:name="_Toc364635731"/>
      <w:bookmarkStart w:id="167" w:name="_Toc364636123"/>
      <w:bookmarkStart w:id="168" w:name="_Toc364636559"/>
      <w:bookmarkStart w:id="169" w:name="_Toc366502061"/>
      <w:bookmarkStart w:id="170" w:name="_Toc369907840"/>
      <w:bookmarkStart w:id="171" w:name="_Toc370052358"/>
      <w:bookmarkStart w:id="172" w:name="_Toc372234506"/>
      <w:bookmarkStart w:id="173" w:name="_Toc395871034"/>
      <w:bookmarkStart w:id="174" w:name="_Toc409468201"/>
      <w:bookmarkEnd w:id="153"/>
      <w:bookmarkEnd w:id="154"/>
      <w:bookmarkEnd w:id="155"/>
      <w:bookmarkEnd w:id="156"/>
      <w:bookmarkEnd w:id="157"/>
      <w:bookmarkEnd w:id="158"/>
      <w:bookmarkEnd w:id="159"/>
      <w:bookmarkEnd w:id="160"/>
      <w:bookmarkEnd w:id="161"/>
      <w:bookmarkEnd w:id="162"/>
      <w:bookmarkEnd w:id="163"/>
      <w:bookmarkEnd w:id="164"/>
      <w:bookmarkEnd w:id="165"/>
      <w:r>
        <w:rPr>
          <w:rFonts w:asciiTheme="minorHAnsi" w:hAnsiTheme="minorHAnsi"/>
        </w:rPr>
        <w:t>Introduction</w:t>
      </w:r>
      <w:bookmarkEnd w:id="166"/>
      <w:bookmarkEnd w:id="167"/>
      <w:bookmarkEnd w:id="168"/>
      <w:bookmarkEnd w:id="169"/>
      <w:bookmarkEnd w:id="170"/>
      <w:bookmarkEnd w:id="171"/>
      <w:bookmarkEnd w:id="172"/>
      <w:bookmarkEnd w:id="173"/>
      <w:bookmarkEnd w:id="174"/>
    </w:p>
    <w:p w14:paraId="70306CDA" w14:textId="77777777" w:rsidR="004A1818" w:rsidRPr="00331B33" w:rsidRDefault="004A1818" w:rsidP="00331B33">
      <w:pPr>
        <w:spacing w:line="276" w:lineRule="auto"/>
        <w:ind w:left="270"/>
        <w:rPr>
          <w:rFonts w:asciiTheme="minorHAnsi" w:hAnsiTheme="minorHAnsi" w:cs="Segoe UI"/>
          <w:szCs w:val="22"/>
        </w:rPr>
      </w:pPr>
    </w:p>
    <w:p w14:paraId="0CCCD6EB" w14:textId="3E91B61E" w:rsidR="004A1818" w:rsidRPr="00331B33" w:rsidRDefault="00F70D90" w:rsidP="00331B33">
      <w:pPr>
        <w:spacing w:line="276" w:lineRule="auto"/>
        <w:jc w:val="both"/>
        <w:rPr>
          <w:rFonts w:asciiTheme="minorHAnsi" w:hAnsiTheme="minorHAnsi" w:cs="Segoe UI"/>
          <w:szCs w:val="22"/>
        </w:rPr>
      </w:pPr>
      <w:r w:rsidRPr="00331B33">
        <w:rPr>
          <w:rFonts w:asciiTheme="minorHAnsi" w:hAnsiTheme="minorHAnsi" w:cs="Segoe UI"/>
          <w:szCs w:val="22"/>
        </w:rPr>
        <w:t>This</w:t>
      </w:r>
      <w:r w:rsidR="004A1818" w:rsidRPr="00331B33">
        <w:rPr>
          <w:rFonts w:asciiTheme="minorHAnsi" w:hAnsiTheme="minorHAnsi" w:cs="Segoe UI"/>
          <w:szCs w:val="22"/>
        </w:rPr>
        <w:t xml:space="preserve"> section describe</w:t>
      </w:r>
      <w:r w:rsidRPr="00331B33">
        <w:rPr>
          <w:rFonts w:asciiTheme="minorHAnsi" w:hAnsiTheme="minorHAnsi" w:cs="Segoe UI"/>
          <w:szCs w:val="22"/>
        </w:rPr>
        <w:t>s</w:t>
      </w:r>
      <w:r w:rsidR="004A1818" w:rsidRPr="00331B33">
        <w:rPr>
          <w:rFonts w:asciiTheme="minorHAnsi" w:hAnsiTheme="minorHAnsi" w:cs="Segoe UI"/>
          <w:szCs w:val="22"/>
        </w:rPr>
        <w:t xml:space="preserve"> the suggested steps a firm might take to comply with the MiFID </w:t>
      </w:r>
      <w:r w:rsidR="00851F2F" w:rsidRPr="00331B33">
        <w:rPr>
          <w:rFonts w:asciiTheme="minorHAnsi" w:hAnsiTheme="minorHAnsi" w:cs="Segoe UI"/>
          <w:szCs w:val="22"/>
        </w:rPr>
        <w:t xml:space="preserve">II </w:t>
      </w:r>
      <w:r w:rsidR="004A1818" w:rsidRPr="00331B33">
        <w:rPr>
          <w:rFonts w:asciiTheme="minorHAnsi" w:hAnsiTheme="minorHAnsi" w:cs="Segoe UI"/>
          <w:szCs w:val="22"/>
        </w:rPr>
        <w:t xml:space="preserve">Ex-Ante Costs </w:t>
      </w:r>
      <w:r w:rsidR="00851F2F" w:rsidRPr="00331B33">
        <w:rPr>
          <w:rFonts w:asciiTheme="minorHAnsi" w:hAnsiTheme="minorHAnsi" w:cs="Segoe UI"/>
          <w:szCs w:val="22"/>
        </w:rPr>
        <w:t xml:space="preserve">and </w:t>
      </w:r>
      <w:r w:rsidR="004A1818" w:rsidRPr="00331B33">
        <w:rPr>
          <w:rFonts w:asciiTheme="minorHAnsi" w:hAnsiTheme="minorHAnsi" w:cs="Segoe UI"/>
          <w:szCs w:val="22"/>
        </w:rPr>
        <w:t xml:space="preserve">Charges requirements for Funds - in terms of content, production, high level calculation and layout. The high level requirements for disclosure are detailed in the </w:t>
      </w:r>
      <w:r w:rsidR="000E5A68">
        <w:rPr>
          <w:rFonts w:asciiTheme="minorHAnsi" w:hAnsiTheme="minorHAnsi" w:cs="Segoe UI"/>
          <w:szCs w:val="22"/>
        </w:rPr>
        <w:t>MiFID II</w:t>
      </w:r>
      <w:r w:rsidR="004A1818" w:rsidRPr="00331B33">
        <w:rPr>
          <w:rFonts w:asciiTheme="minorHAnsi" w:hAnsiTheme="minorHAnsi" w:cs="Segoe UI"/>
          <w:szCs w:val="22"/>
        </w:rPr>
        <w:t xml:space="preserve"> Directive</w:t>
      </w:r>
      <w:r w:rsidR="004A1818" w:rsidRPr="00331B33">
        <w:rPr>
          <w:rStyle w:val="FootnoteReference"/>
          <w:rFonts w:asciiTheme="minorHAnsi" w:hAnsiTheme="minorHAnsi" w:cs="Segoe UI"/>
          <w:szCs w:val="22"/>
        </w:rPr>
        <w:footnoteReference w:id="16"/>
      </w:r>
      <w:r w:rsidR="004A1818" w:rsidRPr="00331B33">
        <w:rPr>
          <w:rFonts w:asciiTheme="minorHAnsi" w:hAnsiTheme="minorHAnsi" w:cs="Segoe UI"/>
          <w:szCs w:val="22"/>
        </w:rPr>
        <w:t xml:space="preserve"> Section 2, Article 24(4), and supplemented by </w:t>
      </w:r>
      <w:r w:rsidR="000E5A68">
        <w:rPr>
          <w:rFonts w:asciiTheme="minorHAnsi" w:hAnsiTheme="minorHAnsi" w:cs="Segoe UI"/>
          <w:szCs w:val="22"/>
        </w:rPr>
        <w:t>MiFID II</w:t>
      </w:r>
      <w:r w:rsidR="004A1818" w:rsidRPr="00331B33">
        <w:rPr>
          <w:rFonts w:asciiTheme="minorHAnsi" w:hAnsiTheme="minorHAnsi" w:cs="Segoe UI"/>
          <w:szCs w:val="22"/>
        </w:rPr>
        <w:t xml:space="preserve"> Delegated Regulation</w:t>
      </w:r>
      <w:r w:rsidR="004A1818" w:rsidRPr="006F3EFC">
        <w:rPr>
          <w:rStyle w:val="FootnoteReference"/>
          <w:rFonts w:asciiTheme="minorHAnsi" w:hAnsiTheme="minorHAnsi" w:cs="Segoe UI"/>
          <w:sz w:val="20"/>
        </w:rPr>
        <w:footnoteReference w:id="17"/>
      </w:r>
      <w:r w:rsidR="004A1818" w:rsidRPr="006F3EFC">
        <w:rPr>
          <w:rFonts w:asciiTheme="minorHAnsi" w:hAnsiTheme="minorHAnsi" w:cs="Segoe UI"/>
          <w:sz w:val="20"/>
        </w:rPr>
        <w:t xml:space="preserve"> </w:t>
      </w:r>
      <w:r w:rsidR="004A1818" w:rsidRPr="00331B33">
        <w:rPr>
          <w:rFonts w:asciiTheme="minorHAnsi" w:hAnsiTheme="minorHAnsi" w:cs="Segoe UI"/>
          <w:szCs w:val="22"/>
        </w:rPr>
        <w:t xml:space="preserve">Article 50. </w:t>
      </w:r>
    </w:p>
    <w:p w14:paraId="295DA241" w14:textId="77777777" w:rsidR="004A1818" w:rsidRPr="006F3EFC" w:rsidRDefault="004A1818" w:rsidP="004A1818">
      <w:pPr>
        <w:pStyle w:val="Heading2"/>
        <w:keepLines w:val="0"/>
        <w:widowControl w:val="0"/>
        <w:tabs>
          <w:tab w:val="num" w:pos="592"/>
        </w:tabs>
        <w:adjustRightInd w:val="0"/>
        <w:spacing w:before="240" w:after="60" w:line="360" w:lineRule="atLeast"/>
        <w:ind w:left="592" w:hanging="592"/>
        <w:jc w:val="both"/>
        <w:textAlignment w:val="baseline"/>
        <w:rPr>
          <w:rFonts w:asciiTheme="minorHAnsi" w:hAnsiTheme="minorHAnsi"/>
        </w:rPr>
      </w:pPr>
      <w:bookmarkStart w:id="175" w:name="_Toc488148010"/>
      <w:bookmarkStart w:id="176" w:name="_Toc364001871"/>
      <w:bookmarkStart w:id="177" w:name="_Toc364343122"/>
      <w:bookmarkStart w:id="178" w:name="_Toc364343309"/>
      <w:bookmarkStart w:id="179" w:name="_Toc364343668"/>
      <w:bookmarkStart w:id="180" w:name="_Toc364635732"/>
      <w:bookmarkStart w:id="181" w:name="_Toc364636124"/>
      <w:bookmarkStart w:id="182" w:name="_Toc364636560"/>
      <w:bookmarkStart w:id="183" w:name="_Toc366502062"/>
      <w:bookmarkStart w:id="184" w:name="_Toc369907841"/>
      <w:bookmarkStart w:id="185" w:name="_Toc370052359"/>
      <w:bookmarkStart w:id="186" w:name="_Toc372234507"/>
      <w:bookmarkStart w:id="187" w:name="_Toc395871035"/>
      <w:bookmarkStart w:id="188" w:name="_Toc409468202"/>
      <w:r w:rsidRPr="006F3EFC">
        <w:rPr>
          <w:rFonts w:asciiTheme="minorHAnsi" w:hAnsiTheme="minorHAnsi"/>
        </w:rPr>
        <w:t xml:space="preserve">Timing of the Ex-Ante </w:t>
      </w:r>
      <w:r w:rsidRPr="006F3EFC">
        <w:rPr>
          <w:rFonts w:asciiTheme="minorHAnsi" w:hAnsiTheme="minorHAnsi"/>
          <w:lang w:val="en-GB"/>
        </w:rPr>
        <w:t>Document</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82669E3" w14:textId="77777777" w:rsidR="004A1818" w:rsidRPr="006F3EFC" w:rsidRDefault="004A1818" w:rsidP="004A1818">
      <w:pPr>
        <w:rPr>
          <w:rFonts w:asciiTheme="minorHAnsi" w:hAnsiTheme="minorHAnsi"/>
        </w:rPr>
      </w:pPr>
    </w:p>
    <w:p w14:paraId="44B8EDE0" w14:textId="6B7758B8" w:rsidR="004A1818" w:rsidRPr="00094024" w:rsidRDefault="001744B1" w:rsidP="004A1818">
      <w:pPr>
        <w:jc w:val="both"/>
        <w:rPr>
          <w:rFonts w:asciiTheme="minorHAnsi" w:hAnsiTheme="minorHAnsi" w:cs="Segoe UI"/>
          <w:szCs w:val="22"/>
        </w:rPr>
      </w:pPr>
      <w:r>
        <w:rPr>
          <w:rFonts w:asciiTheme="minorHAnsi" w:hAnsiTheme="minorHAnsi" w:cs="Segoe UI"/>
          <w:szCs w:val="22"/>
        </w:rPr>
        <w:t>A</w:t>
      </w:r>
      <w:r w:rsidR="004A1818" w:rsidRPr="00094024">
        <w:rPr>
          <w:rFonts w:asciiTheme="minorHAnsi" w:hAnsiTheme="minorHAnsi" w:cs="Segoe UI"/>
          <w:szCs w:val="22"/>
        </w:rPr>
        <w:t xml:space="preserve">n investor must be able to see the costs and charges applicable </w:t>
      </w:r>
      <w:r w:rsidR="00D44378">
        <w:rPr>
          <w:rFonts w:asciiTheme="minorHAnsi" w:hAnsiTheme="minorHAnsi" w:cs="Segoe UI"/>
          <w:szCs w:val="22"/>
        </w:rPr>
        <w:t xml:space="preserve">in good time </w:t>
      </w:r>
      <w:r w:rsidR="004A1818" w:rsidRPr="00094024">
        <w:rPr>
          <w:rFonts w:asciiTheme="minorHAnsi" w:hAnsiTheme="minorHAnsi" w:cs="Segoe UI"/>
          <w:szCs w:val="22"/>
        </w:rPr>
        <w:t>before the provision of services. This is to enable comparison of costs between different products</w:t>
      </w:r>
      <w:r w:rsidR="000E5A68">
        <w:rPr>
          <w:rFonts w:asciiTheme="minorHAnsi" w:hAnsiTheme="minorHAnsi" w:cs="Segoe UI"/>
          <w:szCs w:val="22"/>
        </w:rPr>
        <w:t xml:space="preserve"> (including service costs)</w:t>
      </w:r>
      <w:r w:rsidR="004A1818" w:rsidRPr="00094024">
        <w:rPr>
          <w:rFonts w:asciiTheme="minorHAnsi" w:hAnsiTheme="minorHAnsi" w:cs="Segoe UI"/>
          <w:szCs w:val="22"/>
        </w:rPr>
        <w:t xml:space="preserve"> in order to make informed investment choices.</w:t>
      </w:r>
    </w:p>
    <w:p w14:paraId="058A7E00" w14:textId="77777777" w:rsidR="004A1818" w:rsidRPr="00094024" w:rsidRDefault="004A1818" w:rsidP="004A1818">
      <w:pPr>
        <w:jc w:val="both"/>
        <w:rPr>
          <w:rFonts w:asciiTheme="minorHAnsi" w:hAnsiTheme="minorHAnsi" w:cs="Segoe UI"/>
          <w:szCs w:val="22"/>
        </w:rPr>
      </w:pPr>
    </w:p>
    <w:p w14:paraId="2D106E63" w14:textId="7C5F80C6" w:rsidR="004A1818" w:rsidRPr="00094024" w:rsidRDefault="004A1818" w:rsidP="004A1818">
      <w:pPr>
        <w:jc w:val="both"/>
        <w:rPr>
          <w:rFonts w:asciiTheme="minorHAnsi" w:hAnsiTheme="minorHAnsi" w:cs="Segoe UI"/>
          <w:szCs w:val="22"/>
        </w:rPr>
      </w:pPr>
      <w:r w:rsidRPr="00094024">
        <w:rPr>
          <w:rFonts w:asciiTheme="minorHAnsi" w:hAnsiTheme="minorHAnsi" w:cs="Segoe UI"/>
          <w:szCs w:val="22"/>
        </w:rPr>
        <w:t xml:space="preserve">For execution only </w:t>
      </w:r>
      <w:r w:rsidR="00F70D90">
        <w:rPr>
          <w:rFonts w:asciiTheme="minorHAnsi" w:hAnsiTheme="minorHAnsi" w:cs="Segoe UI"/>
          <w:szCs w:val="22"/>
        </w:rPr>
        <w:t xml:space="preserve">(XO) </w:t>
      </w:r>
      <w:r w:rsidRPr="00094024">
        <w:rPr>
          <w:rFonts w:asciiTheme="minorHAnsi" w:hAnsiTheme="minorHAnsi" w:cs="Segoe UI"/>
          <w:szCs w:val="22"/>
        </w:rPr>
        <w:t>and advisory business investing in funds,</w:t>
      </w:r>
      <w:r w:rsidRPr="00094024">
        <w:rPr>
          <w:rFonts w:asciiTheme="minorHAnsi" w:hAnsiTheme="minorHAnsi" w:cs="Segoe UI"/>
          <w:color w:val="FF0000"/>
          <w:szCs w:val="22"/>
        </w:rPr>
        <w:t xml:space="preserve"> </w:t>
      </w:r>
      <w:r w:rsidRPr="00094024">
        <w:rPr>
          <w:rFonts w:asciiTheme="minorHAnsi" w:hAnsiTheme="minorHAnsi" w:cs="Segoe UI"/>
          <w:szCs w:val="22"/>
        </w:rPr>
        <w:t>a client will typically invest via</w:t>
      </w:r>
      <w:r w:rsidR="00F70D90">
        <w:rPr>
          <w:rFonts w:asciiTheme="minorHAnsi" w:hAnsiTheme="minorHAnsi" w:cs="Segoe UI"/>
          <w:szCs w:val="22"/>
        </w:rPr>
        <w:t>:</w:t>
      </w:r>
      <w:r w:rsidRPr="00094024">
        <w:rPr>
          <w:rFonts w:asciiTheme="minorHAnsi" w:hAnsiTheme="minorHAnsi" w:cs="Segoe UI"/>
          <w:szCs w:val="22"/>
        </w:rPr>
        <w:t xml:space="preserve"> </w:t>
      </w:r>
    </w:p>
    <w:p w14:paraId="6A67A221" w14:textId="77777777" w:rsidR="004A1818" w:rsidRPr="00094024" w:rsidRDefault="004A1818" w:rsidP="00331B33">
      <w:pPr>
        <w:ind w:left="1440"/>
        <w:jc w:val="both"/>
        <w:rPr>
          <w:rFonts w:asciiTheme="minorHAnsi" w:hAnsiTheme="minorHAnsi" w:cs="Segoe UI"/>
          <w:szCs w:val="22"/>
        </w:rPr>
      </w:pPr>
    </w:p>
    <w:p w14:paraId="24C3C7D9" w14:textId="5015D5D4" w:rsidR="004A1818" w:rsidRPr="00094024" w:rsidRDefault="00F70D90" w:rsidP="00331B33">
      <w:pPr>
        <w:numPr>
          <w:ilvl w:val="0"/>
          <w:numId w:val="15"/>
        </w:numPr>
        <w:ind w:left="1440"/>
        <w:jc w:val="both"/>
        <w:rPr>
          <w:rFonts w:asciiTheme="minorHAnsi" w:hAnsiTheme="minorHAnsi" w:cs="Segoe UI"/>
          <w:szCs w:val="22"/>
        </w:rPr>
      </w:pPr>
      <w:r>
        <w:rPr>
          <w:rFonts w:asciiTheme="minorHAnsi" w:hAnsiTheme="minorHAnsi" w:cs="Segoe UI"/>
          <w:szCs w:val="22"/>
        </w:rPr>
        <w:t>A w</w:t>
      </w:r>
      <w:r w:rsidR="004A1818" w:rsidRPr="00094024">
        <w:rPr>
          <w:rFonts w:asciiTheme="minorHAnsi" w:hAnsiTheme="minorHAnsi" w:cs="Segoe UI"/>
          <w:szCs w:val="22"/>
        </w:rPr>
        <w:t>eb portal</w:t>
      </w:r>
    </w:p>
    <w:p w14:paraId="05D68CFA" w14:textId="19357035" w:rsidR="004A1818" w:rsidRPr="00094024" w:rsidRDefault="004A1818" w:rsidP="00331B33">
      <w:pPr>
        <w:numPr>
          <w:ilvl w:val="0"/>
          <w:numId w:val="15"/>
        </w:numPr>
        <w:ind w:left="1440"/>
        <w:jc w:val="both"/>
        <w:rPr>
          <w:rFonts w:asciiTheme="minorHAnsi" w:hAnsiTheme="minorHAnsi" w:cs="Segoe UI"/>
          <w:szCs w:val="22"/>
        </w:rPr>
      </w:pPr>
      <w:r w:rsidRPr="00094024">
        <w:rPr>
          <w:rFonts w:asciiTheme="minorHAnsi" w:hAnsiTheme="minorHAnsi" w:cs="Segoe UI"/>
          <w:szCs w:val="22"/>
        </w:rPr>
        <w:t>T</w:t>
      </w:r>
      <w:r w:rsidR="00F70D90">
        <w:rPr>
          <w:rFonts w:asciiTheme="minorHAnsi" w:hAnsiTheme="minorHAnsi" w:cs="Segoe UI"/>
          <w:szCs w:val="22"/>
        </w:rPr>
        <w:t>he t</w:t>
      </w:r>
      <w:r w:rsidRPr="00094024">
        <w:rPr>
          <w:rFonts w:asciiTheme="minorHAnsi" w:hAnsiTheme="minorHAnsi" w:cs="Segoe UI"/>
          <w:szCs w:val="22"/>
        </w:rPr>
        <w:t xml:space="preserve">elephone </w:t>
      </w:r>
    </w:p>
    <w:p w14:paraId="12EB0EB1" w14:textId="70B8F536" w:rsidR="004A1818" w:rsidRPr="00094024" w:rsidRDefault="00F70D90" w:rsidP="00331B33">
      <w:pPr>
        <w:numPr>
          <w:ilvl w:val="0"/>
          <w:numId w:val="15"/>
        </w:numPr>
        <w:ind w:left="1440"/>
        <w:jc w:val="both"/>
        <w:rPr>
          <w:rFonts w:asciiTheme="minorHAnsi" w:hAnsiTheme="minorHAnsi" w:cs="Segoe UI"/>
          <w:szCs w:val="22"/>
        </w:rPr>
      </w:pPr>
      <w:r>
        <w:rPr>
          <w:rFonts w:asciiTheme="minorHAnsi" w:hAnsiTheme="minorHAnsi" w:cs="Segoe UI"/>
          <w:szCs w:val="22"/>
        </w:rPr>
        <w:t>A p</w:t>
      </w:r>
      <w:r w:rsidR="004A1818" w:rsidRPr="00094024">
        <w:rPr>
          <w:rFonts w:asciiTheme="minorHAnsi" w:hAnsiTheme="minorHAnsi" w:cs="Segoe UI"/>
          <w:szCs w:val="22"/>
        </w:rPr>
        <w:t>ostal application form</w:t>
      </w:r>
      <w:r>
        <w:rPr>
          <w:rFonts w:asciiTheme="minorHAnsi" w:hAnsiTheme="minorHAnsi" w:cs="Segoe UI"/>
          <w:szCs w:val="22"/>
        </w:rPr>
        <w:t>.</w:t>
      </w:r>
      <w:r w:rsidR="004A1818" w:rsidRPr="00094024">
        <w:rPr>
          <w:rFonts w:asciiTheme="minorHAnsi" w:hAnsiTheme="minorHAnsi" w:cs="Segoe UI"/>
          <w:szCs w:val="22"/>
        </w:rPr>
        <w:t xml:space="preserve"> </w:t>
      </w:r>
    </w:p>
    <w:p w14:paraId="5E9F54CC" w14:textId="77777777" w:rsidR="004A1818" w:rsidRPr="00094024" w:rsidRDefault="004A1818" w:rsidP="00331B33">
      <w:pPr>
        <w:spacing w:line="276" w:lineRule="auto"/>
        <w:jc w:val="both"/>
        <w:rPr>
          <w:rFonts w:asciiTheme="minorHAnsi" w:hAnsiTheme="minorHAnsi" w:cs="Segoe UI"/>
          <w:szCs w:val="22"/>
        </w:rPr>
      </w:pPr>
    </w:p>
    <w:p w14:paraId="03B6D1CC" w14:textId="5C936F2C" w:rsidR="004A1818" w:rsidRPr="006F3EFC" w:rsidRDefault="004A1818" w:rsidP="00786673">
      <w:pPr>
        <w:spacing w:line="276" w:lineRule="auto"/>
        <w:jc w:val="both"/>
        <w:rPr>
          <w:rFonts w:asciiTheme="minorHAnsi" w:hAnsiTheme="minorHAnsi" w:cs="Segoe UI"/>
          <w:sz w:val="20"/>
        </w:rPr>
      </w:pPr>
      <w:r w:rsidRPr="00094024">
        <w:rPr>
          <w:rFonts w:asciiTheme="minorHAnsi" w:hAnsiTheme="minorHAnsi" w:cs="Segoe UI"/>
          <w:szCs w:val="22"/>
        </w:rPr>
        <w:t>Each of these methods of investing should include the provision of Ex-Ante information to the client. For example, in relation to clients trading via web portals, a click-through acknowledgement could be implemented to ensure that the provider of the Ex-Ante documentation has met their regulatory obligations (similar to the approach to the provision of the UCIT</w:t>
      </w:r>
      <w:r w:rsidR="001744B1">
        <w:rPr>
          <w:rFonts w:asciiTheme="minorHAnsi" w:hAnsiTheme="minorHAnsi" w:cs="Segoe UI"/>
          <w:szCs w:val="22"/>
        </w:rPr>
        <w:t>S</w:t>
      </w:r>
      <w:r w:rsidRPr="00094024">
        <w:rPr>
          <w:rFonts w:asciiTheme="minorHAnsi" w:hAnsiTheme="minorHAnsi" w:cs="Segoe UI"/>
          <w:szCs w:val="22"/>
        </w:rPr>
        <w:t xml:space="preserve"> K</w:t>
      </w:r>
      <w:r w:rsidR="001744B1">
        <w:rPr>
          <w:rFonts w:asciiTheme="minorHAnsi" w:hAnsiTheme="minorHAnsi" w:cs="Segoe UI"/>
          <w:szCs w:val="22"/>
        </w:rPr>
        <w:t>I</w:t>
      </w:r>
      <w:r w:rsidRPr="00094024">
        <w:rPr>
          <w:rFonts w:asciiTheme="minorHAnsi" w:hAnsiTheme="minorHAnsi" w:cs="Segoe UI"/>
          <w:szCs w:val="22"/>
        </w:rPr>
        <w:t xml:space="preserve">ID). </w:t>
      </w:r>
      <w:r w:rsidR="00F70D90">
        <w:rPr>
          <w:rFonts w:asciiTheme="minorHAnsi" w:hAnsiTheme="minorHAnsi" w:cs="Segoe UI"/>
          <w:szCs w:val="22"/>
        </w:rPr>
        <w:t xml:space="preserve"> </w:t>
      </w:r>
      <w:r w:rsidRPr="00094024">
        <w:rPr>
          <w:rFonts w:asciiTheme="minorHAnsi" w:hAnsiTheme="minorHAnsi" w:cs="Segoe UI"/>
          <w:szCs w:val="22"/>
        </w:rPr>
        <w:t xml:space="preserve">Other methods of communicating include email or hard </w:t>
      </w:r>
      <w:r w:rsidR="00107703" w:rsidRPr="00094024">
        <w:rPr>
          <w:rFonts w:asciiTheme="minorHAnsi" w:hAnsiTheme="minorHAnsi" w:cs="Segoe UI"/>
          <w:szCs w:val="22"/>
        </w:rPr>
        <w:t>copies, which</w:t>
      </w:r>
      <w:r w:rsidRPr="00094024">
        <w:rPr>
          <w:rFonts w:asciiTheme="minorHAnsi" w:hAnsiTheme="minorHAnsi" w:cs="Segoe UI"/>
          <w:szCs w:val="22"/>
        </w:rPr>
        <w:t xml:space="preserve"> will necessitate amendments to documentation and telephone scripts.</w:t>
      </w:r>
    </w:p>
    <w:p w14:paraId="179B4013" w14:textId="77777777" w:rsidR="004A1818" w:rsidRPr="006F3EFC" w:rsidRDefault="004A1818" w:rsidP="004A1818">
      <w:pPr>
        <w:pStyle w:val="Heading2"/>
        <w:keepLines w:val="0"/>
        <w:widowControl w:val="0"/>
        <w:tabs>
          <w:tab w:val="num" w:pos="592"/>
        </w:tabs>
        <w:adjustRightInd w:val="0"/>
        <w:spacing w:before="240" w:after="60" w:line="360" w:lineRule="atLeast"/>
        <w:ind w:left="592" w:hanging="592"/>
        <w:jc w:val="both"/>
        <w:textAlignment w:val="baseline"/>
        <w:rPr>
          <w:rFonts w:asciiTheme="minorHAnsi" w:hAnsiTheme="minorHAnsi"/>
        </w:rPr>
      </w:pPr>
      <w:bookmarkStart w:id="189" w:name="_Toc488148011"/>
      <w:bookmarkStart w:id="190" w:name="_Toc364001872"/>
      <w:bookmarkStart w:id="191" w:name="_Toc364343123"/>
      <w:bookmarkStart w:id="192" w:name="_Toc364343310"/>
      <w:bookmarkStart w:id="193" w:name="_Toc364343669"/>
      <w:bookmarkStart w:id="194" w:name="_Toc364635733"/>
      <w:bookmarkStart w:id="195" w:name="_Toc364636125"/>
      <w:bookmarkStart w:id="196" w:name="_Toc364636561"/>
      <w:bookmarkStart w:id="197" w:name="_Toc366502063"/>
      <w:bookmarkStart w:id="198" w:name="_Toc369907842"/>
      <w:bookmarkStart w:id="199" w:name="_Toc370052360"/>
      <w:bookmarkStart w:id="200" w:name="_Toc372234508"/>
      <w:bookmarkStart w:id="201" w:name="_Toc395871036"/>
      <w:bookmarkStart w:id="202" w:name="_Toc409468203"/>
      <w:r w:rsidRPr="006F3EFC">
        <w:rPr>
          <w:rFonts w:asciiTheme="minorHAnsi" w:hAnsiTheme="minorHAnsi"/>
        </w:rPr>
        <w:t>Who creates and who receives the Ex-Ante Costs &amp; Charges Document?</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39F5DEE3" w14:textId="77777777" w:rsidR="004A1818" w:rsidRPr="006F3EFC" w:rsidRDefault="004A1818" w:rsidP="004A1818">
      <w:pPr>
        <w:jc w:val="both"/>
        <w:rPr>
          <w:rFonts w:asciiTheme="minorHAnsi" w:hAnsiTheme="minorHAnsi" w:cs="Segoe UI"/>
          <w:sz w:val="20"/>
        </w:rPr>
      </w:pPr>
    </w:p>
    <w:p w14:paraId="287476F8" w14:textId="77777777" w:rsidR="004A1818" w:rsidRPr="006F3EFC" w:rsidRDefault="004A1818" w:rsidP="004A1818">
      <w:pPr>
        <w:jc w:val="both"/>
        <w:rPr>
          <w:rFonts w:asciiTheme="minorHAnsi" w:hAnsiTheme="minorHAnsi" w:cs="Segoe UI"/>
          <w:sz w:val="20"/>
        </w:rPr>
      </w:pPr>
    </w:p>
    <w:p w14:paraId="1704CD08" w14:textId="7C471E23" w:rsidR="004A1818" w:rsidRPr="00094024" w:rsidRDefault="004A1818" w:rsidP="004A1818">
      <w:pPr>
        <w:jc w:val="both"/>
        <w:rPr>
          <w:rFonts w:asciiTheme="minorHAnsi" w:hAnsiTheme="minorHAnsi" w:cs="Segoe UI"/>
          <w:szCs w:val="22"/>
        </w:rPr>
      </w:pPr>
      <w:r w:rsidRPr="00094024">
        <w:rPr>
          <w:rFonts w:asciiTheme="minorHAnsi" w:hAnsiTheme="minorHAnsi" w:cs="Segoe UI"/>
          <w:szCs w:val="22"/>
        </w:rPr>
        <w:t>MiFID</w:t>
      </w:r>
      <w:r w:rsidR="00F70D90">
        <w:rPr>
          <w:rFonts w:asciiTheme="minorHAnsi" w:hAnsiTheme="minorHAnsi" w:cs="Segoe UI"/>
          <w:szCs w:val="22"/>
        </w:rPr>
        <w:t xml:space="preserve"> II</w:t>
      </w:r>
      <w:r w:rsidRPr="00094024">
        <w:rPr>
          <w:rFonts w:asciiTheme="minorHAnsi" w:hAnsiTheme="minorHAnsi" w:cs="Segoe UI"/>
          <w:szCs w:val="22"/>
        </w:rPr>
        <w:t xml:space="preserve"> cost disclosure involves reporting ALL costs and charges to the client prior to the client’s investment being completed. This includes not only product costs but also service costs. </w:t>
      </w:r>
    </w:p>
    <w:p w14:paraId="2E3A6394" w14:textId="77777777" w:rsidR="004A1818" w:rsidRPr="00094024" w:rsidRDefault="004A1818" w:rsidP="004A1818">
      <w:pPr>
        <w:jc w:val="both"/>
        <w:rPr>
          <w:rFonts w:asciiTheme="minorHAnsi" w:hAnsiTheme="minorHAnsi" w:cs="Segoe UI"/>
          <w:szCs w:val="22"/>
        </w:rPr>
      </w:pPr>
    </w:p>
    <w:p w14:paraId="110AFD09" w14:textId="77777777" w:rsidR="004A1818" w:rsidRPr="00094024" w:rsidRDefault="004A1818" w:rsidP="004A1818">
      <w:pPr>
        <w:jc w:val="both"/>
        <w:rPr>
          <w:rFonts w:asciiTheme="minorHAnsi" w:hAnsiTheme="minorHAnsi" w:cs="Segoe UI"/>
          <w:szCs w:val="22"/>
        </w:rPr>
      </w:pPr>
      <w:r w:rsidRPr="00094024">
        <w:rPr>
          <w:rFonts w:asciiTheme="minorHAnsi" w:hAnsiTheme="minorHAnsi" w:cs="Segoe UI"/>
          <w:szCs w:val="22"/>
        </w:rPr>
        <w:t xml:space="preserve">Funds can be sold to an end client at a number of points in the distribution chain, and the costs shown to potential clients should be correct at each point in the chain. </w:t>
      </w:r>
    </w:p>
    <w:p w14:paraId="6D99F4B2" w14:textId="77777777" w:rsidR="004A1818" w:rsidRPr="00094024" w:rsidRDefault="004A1818" w:rsidP="004A1818">
      <w:pPr>
        <w:jc w:val="both"/>
        <w:rPr>
          <w:rFonts w:asciiTheme="minorHAnsi" w:hAnsiTheme="minorHAnsi" w:cs="Segoe UI"/>
          <w:szCs w:val="22"/>
        </w:rPr>
      </w:pPr>
    </w:p>
    <w:p w14:paraId="464D33DE" w14:textId="6C506259" w:rsidR="004A1818" w:rsidRPr="00094024" w:rsidRDefault="004A1818" w:rsidP="004A1818">
      <w:pPr>
        <w:jc w:val="both"/>
        <w:rPr>
          <w:rFonts w:asciiTheme="minorHAnsi" w:hAnsiTheme="minorHAnsi" w:cs="Segoe UI"/>
          <w:szCs w:val="22"/>
        </w:rPr>
      </w:pPr>
      <w:r w:rsidRPr="00094024">
        <w:rPr>
          <w:rFonts w:asciiTheme="minorHAnsi" w:hAnsiTheme="minorHAnsi" w:cs="Segoe UI"/>
          <w:szCs w:val="22"/>
        </w:rPr>
        <w:lastRenderedPageBreak/>
        <w:t>Product Manufacturers need to calculate the costs of the financial instrument (</w:t>
      </w:r>
      <w:r w:rsidR="00F70D90">
        <w:rPr>
          <w:rFonts w:asciiTheme="minorHAnsi" w:hAnsiTheme="minorHAnsi" w:cs="Segoe UI"/>
          <w:szCs w:val="22"/>
        </w:rPr>
        <w:t>i.e.,</w:t>
      </w:r>
      <w:r w:rsidR="00F70D90" w:rsidRPr="00094024">
        <w:rPr>
          <w:rFonts w:asciiTheme="minorHAnsi" w:hAnsiTheme="minorHAnsi" w:cs="Segoe UI"/>
          <w:szCs w:val="22"/>
        </w:rPr>
        <w:t xml:space="preserve"> </w:t>
      </w:r>
      <w:r w:rsidRPr="00094024">
        <w:rPr>
          <w:rFonts w:asciiTheme="minorHAnsi" w:hAnsiTheme="minorHAnsi" w:cs="Segoe UI"/>
          <w:szCs w:val="22"/>
        </w:rPr>
        <w:t>the product costs). If selling the product direct to clients, any additional costs associated with the service (</w:t>
      </w:r>
      <w:r w:rsidR="00F70D90">
        <w:rPr>
          <w:rFonts w:asciiTheme="minorHAnsi" w:hAnsiTheme="minorHAnsi" w:cs="Segoe UI"/>
          <w:szCs w:val="22"/>
        </w:rPr>
        <w:t xml:space="preserve">i.e., </w:t>
      </w:r>
      <w:r w:rsidRPr="00094024">
        <w:rPr>
          <w:rFonts w:asciiTheme="minorHAnsi" w:hAnsiTheme="minorHAnsi" w:cs="Segoe UI"/>
          <w:szCs w:val="22"/>
        </w:rPr>
        <w:t xml:space="preserve">service costs) must also be captured and included within the Ex-Ante document. </w:t>
      </w:r>
    </w:p>
    <w:p w14:paraId="1ACBB85F" w14:textId="77777777" w:rsidR="004A1818" w:rsidRPr="006F3EFC" w:rsidRDefault="004A1818" w:rsidP="004A1818">
      <w:pPr>
        <w:jc w:val="both"/>
        <w:rPr>
          <w:rFonts w:asciiTheme="minorHAnsi" w:hAnsiTheme="minorHAnsi" w:cs="Segoe UI"/>
          <w:sz w:val="20"/>
        </w:rPr>
      </w:pPr>
    </w:p>
    <w:p w14:paraId="146CDD7F" w14:textId="5EEFD173" w:rsidR="004A1818" w:rsidRPr="00094024" w:rsidRDefault="004A1818" w:rsidP="004A1818">
      <w:pPr>
        <w:jc w:val="both"/>
        <w:rPr>
          <w:rFonts w:asciiTheme="minorHAnsi" w:hAnsiTheme="minorHAnsi" w:cs="Segoe UI"/>
          <w:szCs w:val="22"/>
        </w:rPr>
      </w:pPr>
      <w:r w:rsidRPr="00094024">
        <w:rPr>
          <w:rFonts w:asciiTheme="minorHAnsi" w:hAnsiTheme="minorHAnsi" w:cs="Segoe UI"/>
          <w:szCs w:val="22"/>
        </w:rPr>
        <w:t xml:space="preserve">The Ex-Ante template displayed to end clients must include the product costs from the manufacturer and any additional service costs added by different service providers in the chain. Whilst the product costs should remain constant throughout the chain, Platforms, Distributors, </w:t>
      </w:r>
      <w:r w:rsidR="00D44378">
        <w:rPr>
          <w:rFonts w:asciiTheme="minorHAnsi" w:hAnsiTheme="minorHAnsi" w:cs="Segoe UI"/>
          <w:szCs w:val="22"/>
        </w:rPr>
        <w:t>Fund S</w:t>
      </w:r>
      <w:r w:rsidRPr="00094024">
        <w:rPr>
          <w:rFonts w:asciiTheme="minorHAnsi" w:hAnsiTheme="minorHAnsi" w:cs="Segoe UI"/>
          <w:szCs w:val="22"/>
        </w:rPr>
        <w:t xml:space="preserve">upermarkets and agents may all add additional service charges, which would need incorporating into any Ex-Ante template shown to the client. </w:t>
      </w:r>
    </w:p>
    <w:p w14:paraId="2F7A0178" w14:textId="77777777" w:rsidR="004A1818" w:rsidRPr="00094024" w:rsidRDefault="004A1818" w:rsidP="004A1818">
      <w:pPr>
        <w:jc w:val="both"/>
        <w:rPr>
          <w:rFonts w:asciiTheme="minorHAnsi" w:hAnsiTheme="minorHAnsi" w:cs="Segoe UI"/>
          <w:szCs w:val="22"/>
        </w:rPr>
      </w:pPr>
    </w:p>
    <w:p w14:paraId="76971223" w14:textId="083DB255" w:rsidR="004A1818" w:rsidRPr="00094024" w:rsidRDefault="004A1818" w:rsidP="004A1818">
      <w:pPr>
        <w:jc w:val="both"/>
        <w:rPr>
          <w:rFonts w:asciiTheme="minorHAnsi" w:hAnsiTheme="minorHAnsi" w:cs="Segoe UI"/>
          <w:szCs w:val="22"/>
        </w:rPr>
      </w:pPr>
      <w:r w:rsidRPr="00094024">
        <w:rPr>
          <w:rFonts w:asciiTheme="minorHAnsi" w:hAnsiTheme="minorHAnsi" w:cs="Segoe UI"/>
          <w:szCs w:val="22"/>
        </w:rPr>
        <w:t xml:space="preserve">To facilitate the provision of the product charges from the product manufacturer to other participants in the chain, a data template or flat file referred to as the EMT </w:t>
      </w:r>
      <w:r w:rsidR="006452BE">
        <w:rPr>
          <w:rFonts w:asciiTheme="minorHAnsi" w:hAnsiTheme="minorHAnsi" w:cs="Segoe UI"/>
          <w:szCs w:val="22"/>
        </w:rPr>
        <w:t>(which is a standardized format developed by European Working Group (EWG)</w:t>
      </w:r>
      <w:r w:rsidRPr="00094024">
        <w:rPr>
          <w:rFonts w:asciiTheme="minorHAnsi" w:hAnsiTheme="minorHAnsi" w:cs="Segoe UI"/>
          <w:szCs w:val="22"/>
        </w:rPr>
        <w:t xml:space="preserve"> </w:t>
      </w:r>
      <w:r w:rsidR="002C7771">
        <w:rPr>
          <w:rFonts w:asciiTheme="minorHAnsi" w:hAnsiTheme="minorHAnsi" w:cs="Segoe UI"/>
          <w:szCs w:val="22"/>
        </w:rPr>
        <w:t>should</w:t>
      </w:r>
      <w:r w:rsidRPr="00094024">
        <w:rPr>
          <w:rFonts w:asciiTheme="minorHAnsi" w:hAnsiTheme="minorHAnsi" w:cs="Segoe UI"/>
          <w:szCs w:val="22"/>
        </w:rPr>
        <w:t xml:space="preserve"> be utilised. This will be </w:t>
      </w:r>
      <w:r w:rsidRPr="00331B33">
        <w:rPr>
          <w:rFonts w:asciiTheme="minorHAnsi" w:hAnsiTheme="minorHAnsi" w:cs="Segoe UI"/>
          <w:szCs w:val="22"/>
        </w:rPr>
        <w:t xml:space="preserve">detailed in </w:t>
      </w:r>
      <w:r w:rsidR="009D6A36" w:rsidRPr="00EC5EBD">
        <w:rPr>
          <w:rFonts w:asciiTheme="minorHAnsi" w:hAnsiTheme="minorHAnsi" w:cs="Segoe UI"/>
          <w:szCs w:val="22"/>
        </w:rPr>
        <w:t>C</w:t>
      </w:r>
      <w:r w:rsidRPr="00EC5EBD">
        <w:rPr>
          <w:rFonts w:asciiTheme="minorHAnsi" w:hAnsiTheme="minorHAnsi" w:cs="Segoe UI"/>
          <w:szCs w:val="22"/>
        </w:rPr>
        <w:t xml:space="preserve">hapter </w:t>
      </w:r>
      <w:r w:rsidR="00BC2339" w:rsidRPr="00EC5EBD">
        <w:rPr>
          <w:rFonts w:asciiTheme="minorHAnsi" w:hAnsiTheme="minorHAnsi" w:cs="Segoe UI"/>
          <w:szCs w:val="22"/>
        </w:rPr>
        <w:t>1</w:t>
      </w:r>
      <w:r w:rsidR="00BC2339">
        <w:rPr>
          <w:rFonts w:asciiTheme="minorHAnsi" w:hAnsiTheme="minorHAnsi" w:cs="Segoe UI"/>
          <w:szCs w:val="22"/>
        </w:rPr>
        <w:t>0</w:t>
      </w:r>
      <w:r w:rsidR="009D6A36" w:rsidRPr="00EC5EBD">
        <w:rPr>
          <w:rFonts w:asciiTheme="minorHAnsi" w:hAnsiTheme="minorHAnsi" w:cs="Segoe UI"/>
          <w:szCs w:val="22"/>
        </w:rPr>
        <w:t>.</w:t>
      </w:r>
    </w:p>
    <w:p w14:paraId="0373FD7E" w14:textId="77777777" w:rsidR="00E51D7D" w:rsidRPr="005350C4" w:rsidRDefault="00E51D7D" w:rsidP="00AA160C">
      <w:pPr>
        <w:autoSpaceDE w:val="0"/>
        <w:autoSpaceDN w:val="0"/>
        <w:adjustRightInd w:val="0"/>
        <w:spacing w:line="276" w:lineRule="auto"/>
        <w:ind w:left="0"/>
        <w:rPr>
          <w:rFonts w:asciiTheme="minorHAnsi" w:hAnsiTheme="minorHAnsi"/>
        </w:rPr>
      </w:pPr>
    </w:p>
    <w:p w14:paraId="0D854BF6" w14:textId="72AC7A93" w:rsidR="002B0348" w:rsidRPr="006F3EFC" w:rsidRDefault="000368AA" w:rsidP="002B0348">
      <w:pPr>
        <w:rPr>
          <w:rFonts w:asciiTheme="minorHAnsi" w:hAnsiTheme="minorHAnsi" w:cs="Segoe UI"/>
          <w:sz w:val="20"/>
        </w:rPr>
      </w:pPr>
      <w:r>
        <w:rPr>
          <w:rFonts w:asciiTheme="minorHAnsi" w:hAnsiTheme="minorHAnsi"/>
          <w:noProof/>
        </w:rPr>
        <w:drawing>
          <wp:inline distT="0" distB="0" distL="0" distR="0" wp14:anchorId="6B692C8A" wp14:editId="4FC5CF3F">
            <wp:extent cx="5276850" cy="42481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4248150"/>
                    </a:xfrm>
                    <a:prstGeom prst="rect">
                      <a:avLst/>
                    </a:prstGeom>
                    <a:noFill/>
                    <a:ln>
                      <a:noFill/>
                    </a:ln>
                  </pic:spPr>
                </pic:pic>
              </a:graphicData>
            </a:graphic>
          </wp:inline>
        </w:drawing>
      </w:r>
    </w:p>
    <w:p w14:paraId="5EAF61B3" w14:textId="77777777" w:rsidR="00B11617" w:rsidRDefault="00B11617" w:rsidP="00714504">
      <w:pPr>
        <w:jc w:val="both"/>
        <w:rPr>
          <w:rFonts w:asciiTheme="minorHAnsi" w:hAnsiTheme="minorHAnsi" w:cs="Segoe UI"/>
          <w:szCs w:val="22"/>
        </w:rPr>
      </w:pPr>
      <w:bookmarkStart w:id="203" w:name="_Toc488148026"/>
    </w:p>
    <w:p w14:paraId="4C2BA5C1" w14:textId="5CFB33FB" w:rsidR="00B11617" w:rsidRPr="00B11617" w:rsidRDefault="00B11617" w:rsidP="00331B33">
      <w:pPr>
        <w:pStyle w:val="Heading2"/>
      </w:pPr>
      <w:bookmarkStart w:id="204" w:name="_Toc364635738"/>
      <w:bookmarkStart w:id="205" w:name="_Toc364636130"/>
      <w:bookmarkStart w:id="206" w:name="_Toc364636566"/>
      <w:bookmarkStart w:id="207" w:name="_Toc366502064"/>
      <w:bookmarkStart w:id="208" w:name="_Toc369907843"/>
      <w:bookmarkStart w:id="209" w:name="_Toc370052361"/>
      <w:bookmarkStart w:id="210" w:name="_Toc372234509"/>
      <w:bookmarkStart w:id="211" w:name="_Toc395871037"/>
      <w:bookmarkStart w:id="212" w:name="_Toc409468204"/>
      <w:r w:rsidRPr="00B11617">
        <w:t xml:space="preserve">How often does the Ex-Ante Template </w:t>
      </w:r>
      <w:r w:rsidR="006A1DB6">
        <w:t xml:space="preserve">produced by Product manufacturers </w:t>
      </w:r>
      <w:r w:rsidRPr="00B11617">
        <w:t>need reviewing?</w:t>
      </w:r>
      <w:bookmarkEnd w:id="204"/>
      <w:bookmarkEnd w:id="205"/>
      <w:bookmarkEnd w:id="206"/>
      <w:bookmarkEnd w:id="207"/>
      <w:bookmarkEnd w:id="208"/>
      <w:bookmarkEnd w:id="209"/>
      <w:bookmarkEnd w:id="210"/>
      <w:bookmarkEnd w:id="211"/>
      <w:bookmarkEnd w:id="212"/>
    </w:p>
    <w:p w14:paraId="4182B8D3" w14:textId="77777777" w:rsidR="00B11617" w:rsidRPr="00B11617" w:rsidRDefault="00B11617" w:rsidP="00B11617">
      <w:pPr>
        <w:autoSpaceDE w:val="0"/>
        <w:autoSpaceDN w:val="0"/>
        <w:adjustRightInd w:val="0"/>
        <w:ind w:left="0"/>
        <w:jc w:val="both"/>
        <w:rPr>
          <w:rFonts w:asciiTheme="minorHAnsi" w:eastAsiaTheme="minorEastAsia" w:hAnsiTheme="minorHAnsi" w:cs="Segoe UI"/>
          <w:i/>
          <w:sz w:val="20"/>
          <w:lang w:val="en-GB" w:eastAsia="zh-TW"/>
        </w:rPr>
      </w:pPr>
    </w:p>
    <w:p w14:paraId="4EF95D14" w14:textId="77777777" w:rsidR="00B11617" w:rsidRPr="00B11617" w:rsidRDefault="00B11617" w:rsidP="007D53AC">
      <w:pPr>
        <w:autoSpaceDE w:val="0"/>
        <w:autoSpaceDN w:val="0"/>
        <w:adjustRightInd w:val="0"/>
        <w:ind w:left="576"/>
        <w:jc w:val="both"/>
        <w:rPr>
          <w:rFonts w:asciiTheme="minorHAnsi" w:eastAsiaTheme="minorEastAsia" w:hAnsiTheme="minorHAnsi" w:cs="Segoe UI"/>
          <w:i/>
          <w:szCs w:val="22"/>
          <w:lang w:val="en-GB" w:eastAsia="zh-TW"/>
        </w:rPr>
      </w:pPr>
      <w:r w:rsidRPr="00B11617">
        <w:rPr>
          <w:rFonts w:asciiTheme="minorHAnsi" w:eastAsiaTheme="minorEastAsia" w:hAnsiTheme="minorHAnsi" w:cs="Segoe UI"/>
          <w:i/>
          <w:szCs w:val="22"/>
          <w:lang w:val="en-GB" w:eastAsia="zh-TW"/>
        </w:rPr>
        <w:t xml:space="preserve">“Where calculating costs and charges on an Ex-Ante basis, investment firms shall use actually incurred costs as a proxy for the expected costs and charges. Where actual costs are not available, the investment firm shall make reasonable estimations of these costs. Investment </w:t>
      </w:r>
      <w:r w:rsidRPr="00B11617">
        <w:rPr>
          <w:rFonts w:asciiTheme="minorHAnsi" w:eastAsiaTheme="minorEastAsia" w:hAnsiTheme="minorHAnsi" w:cs="Segoe UI"/>
          <w:i/>
          <w:szCs w:val="22"/>
          <w:lang w:val="en-GB" w:eastAsia="zh-TW"/>
        </w:rPr>
        <w:lastRenderedPageBreak/>
        <w:t>firms shall review Ex-Ante assumptions based on the Ex-Post experience and shall make adjustment to these assumptions, where necessary.”</w:t>
      </w:r>
    </w:p>
    <w:p w14:paraId="4F74ADB8" w14:textId="77777777" w:rsidR="00B11617" w:rsidRPr="00B11617" w:rsidRDefault="00B11617" w:rsidP="00B11617">
      <w:pPr>
        <w:jc w:val="both"/>
        <w:rPr>
          <w:rFonts w:asciiTheme="minorHAnsi" w:hAnsiTheme="minorHAnsi" w:cs="Segoe UI"/>
          <w:szCs w:val="22"/>
        </w:rPr>
      </w:pPr>
    </w:p>
    <w:p w14:paraId="4A39436F" w14:textId="2B730D2D" w:rsidR="00B11617" w:rsidRDefault="00B11617" w:rsidP="00B11617">
      <w:pPr>
        <w:jc w:val="both"/>
        <w:rPr>
          <w:rFonts w:asciiTheme="minorHAnsi" w:hAnsiTheme="minorHAnsi" w:cs="Segoe UI"/>
          <w:szCs w:val="22"/>
        </w:rPr>
      </w:pPr>
      <w:r w:rsidRPr="00B11617">
        <w:rPr>
          <w:rFonts w:asciiTheme="minorHAnsi" w:hAnsiTheme="minorHAnsi" w:cs="Segoe UI"/>
          <w:szCs w:val="22"/>
        </w:rPr>
        <w:t xml:space="preserve">Ex-Ante templates are to be reviewed at least annually in light of new </w:t>
      </w:r>
      <w:r w:rsidR="00C53F8F">
        <w:rPr>
          <w:rFonts w:asciiTheme="minorHAnsi" w:hAnsiTheme="minorHAnsi" w:cs="Segoe UI"/>
          <w:szCs w:val="22"/>
        </w:rPr>
        <w:t>E</w:t>
      </w:r>
      <w:r w:rsidRPr="00B11617">
        <w:rPr>
          <w:rFonts w:asciiTheme="minorHAnsi" w:hAnsiTheme="minorHAnsi" w:cs="Segoe UI"/>
          <w:szCs w:val="22"/>
        </w:rPr>
        <w:t>x-</w:t>
      </w:r>
      <w:r w:rsidR="00C53F8F">
        <w:rPr>
          <w:rFonts w:asciiTheme="minorHAnsi" w:hAnsiTheme="minorHAnsi" w:cs="Segoe UI"/>
          <w:szCs w:val="22"/>
        </w:rPr>
        <w:t>P</w:t>
      </w:r>
      <w:r w:rsidRPr="00B11617">
        <w:rPr>
          <w:rFonts w:asciiTheme="minorHAnsi" w:hAnsiTheme="minorHAnsi" w:cs="Segoe UI"/>
          <w:szCs w:val="22"/>
        </w:rPr>
        <w:t xml:space="preserve">ost data. Any material change to the product costs that occur during the year should trigger a republication of the template. </w:t>
      </w:r>
    </w:p>
    <w:p w14:paraId="535AE662" w14:textId="77777777" w:rsidR="00B11617" w:rsidRPr="00B11617" w:rsidRDefault="00B11617" w:rsidP="00B11617">
      <w:pPr>
        <w:jc w:val="both"/>
        <w:rPr>
          <w:rFonts w:asciiTheme="minorHAnsi" w:hAnsiTheme="minorHAnsi" w:cs="Segoe UI"/>
          <w:szCs w:val="22"/>
        </w:rPr>
      </w:pPr>
    </w:p>
    <w:p w14:paraId="11DCE021" w14:textId="77777777" w:rsidR="00B11617" w:rsidRPr="00B11617" w:rsidRDefault="00B11617" w:rsidP="00331B33">
      <w:pPr>
        <w:pStyle w:val="Heading2"/>
      </w:pPr>
      <w:bookmarkStart w:id="213" w:name="_Toc364635739"/>
      <w:bookmarkStart w:id="214" w:name="_Toc364636131"/>
      <w:bookmarkStart w:id="215" w:name="_Toc364636567"/>
      <w:bookmarkStart w:id="216" w:name="_Toc366502065"/>
      <w:bookmarkStart w:id="217" w:name="_Toc369907844"/>
      <w:bookmarkStart w:id="218" w:name="_Toc370052362"/>
      <w:bookmarkStart w:id="219" w:name="_Toc372234510"/>
      <w:bookmarkStart w:id="220" w:name="_Toc395871038"/>
      <w:bookmarkStart w:id="221" w:name="_Toc409468205"/>
      <w:r w:rsidRPr="00B11617">
        <w:t>What is a Material Change?</w:t>
      </w:r>
      <w:bookmarkEnd w:id="213"/>
      <w:bookmarkEnd w:id="214"/>
      <w:bookmarkEnd w:id="215"/>
      <w:bookmarkEnd w:id="216"/>
      <w:bookmarkEnd w:id="217"/>
      <w:bookmarkEnd w:id="218"/>
      <w:bookmarkEnd w:id="219"/>
      <w:bookmarkEnd w:id="220"/>
      <w:bookmarkEnd w:id="221"/>
    </w:p>
    <w:p w14:paraId="618F0D8E" w14:textId="77777777" w:rsidR="00B11617" w:rsidRPr="00B11617" w:rsidRDefault="00B11617" w:rsidP="007D53AC">
      <w:pPr>
        <w:ind w:left="1440"/>
        <w:jc w:val="both"/>
        <w:rPr>
          <w:rFonts w:asciiTheme="minorHAnsi" w:hAnsiTheme="minorHAnsi" w:cs="Segoe UI"/>
          <w:sz w:val="20"/>
        </w:rPr>
      </w:pPr>
    </w:p>
    <w:p w14:paraId="2C533FA8" w14:textId="3365F403" w:rsidR="0094336B" w:rsidRPr="00B11617" w:rsidRDefault="00B11617" w:rsidP="00894AA2">
      <w:pPr>
        <w:jc w:val="both"/>
        <w:rPr>
          <w:rFonts w:asciiTheme="minorHAnsi" w:hAnsiTheme="minorHAnsi" w:cs="Segoe UI"/>
          <w:szCs w:val="22"/>
        </w:rPr>
      </w:pPr>
      <w:r w:rsidRPr="00B11617">
        <w:rPr>
          <w:rFonts w:asciiTheme="minorHAnsi" w:hAnsiTheme="minorHAnsi" w:cs="Segoe UI"/>
          <w:szCs w:val="22"/>
        </w:rPr>
        <w:t xml:space="preserve">Materiality for MiFID II is not currently defined. </w:t>
      </w:r>
      <w:r w:rsidR="007C36E9">
        <w:rPr>
          <w:rFonts w:asciiTheme="minorHAnsi" w:hAnsiTheme="minorHAnsi" w:cs="Segoe UI"/>
          <w:szCs w:val="22"/>
        </w:rPr>
        <w:t>It is up to firms to determine what consist</w:t>
      </w:r>
      <w:r w:rsidR="0094336B">
        <w:rPr>
          <w:rFonts w:asciiTheme="minorHAnsi" w:hAnsiTheme="minorHAnsi" w:cs="Segoe UI"/>
          <w:szCs w:val="22"/>
        </w:rPr>
        <w:t>s</w:t>
      </w:r>
      <w:r w:rsidR="007C36E9">
        <w:rPr>
          <w:rFonts w:asciiTheme="minorHAnsi" w:hAnsiTheme="minorHAnsi" w:cs="Segoe UI"/>
          <w:szCs w:val="22"/>
        </w:rPr>
        <w:t xml:space="preserve"> of a material change for their particular purposes. </w:t>
      </w:r>
      <w:r w:rsidR="0094336B">
        <w:rPr>
          <w:rFonts w:asciiTheme="minorHAnsi" w:hAnsiTheme="minorHAnsi" w:cs="Segoe UI"/>
          <w:szCs w:val="22"/>
        </w:rPr>
        <w:t xml:space="preserve"> </w:t>
      </w:r>
      <w:r w:rsidR="00EE3F2B" w:rsidRPr="00EE3F2B">
        <w:rPr>
          <w:rFonts w:asciiTheme="minorHAnsi" w:hAnsiTheme="minorHAnsi" w:cs="Segoe UI"/>
          <w:szCs w:val="22"/>
        </w:rPr>
        <w:t xml:space="preserve">Overall, any </w:t>
      </w:r>
      <w:r w:rsidR="00107703" w:rsidRPr="00EE3F2B">
        <w:rPr>
          <w:rFonts w:asciiTheme="minorHAnsi" w:hAnsiTheme="minorHAnsi" w:cs="Segoe UI"/>
          <w:szCs w:val="22"/>
        </w:rPr>
        <w:t>circumstances that might result in a change that affects or is likely to affect the accuracy, fairness or clarity of the information</w:t>
      </w:r>
      <w:r w:rsidR="00EE3F2B">
        <w:rPr>
          <w:rFonts w:asciiTheme="minorHAnsi" w:hAnsiTheme="minorHAnsi" w:cs="Segoe UI"/>
          <w:szCs w:val="22"/>
        </w:rPr>
        <w:t xml:space="preserve"> could be considered a material event. </w:t>
      </w:r>
      <w:r w:rsidR="00180A47">
        <w:rPr>
          <w:rFonts w:asciiTheme="minorHAnsi" w:hAnsiTheme="minorHAnsi" w:cs="Segoe UI"/>
          <w:szCs w:val="22"/>
        </w:rPr>
        <w:t xml:space="preserve">It may help firms to consider </w:t>
      </w:r>
      <w:r w:rsidR="000A0848">
        <w:rPr>
          <w:rFonts w:asciiTheme="minorHAnsi" w:hAnsiTheme="minorHAnsi" w:cs="Segoe UI"/>
          <w:szCs w:val="22"/>
        </w:rPr>
        <w:t xml:space="preserve">the AIFM level 2 definition of material change. </w:t>
      </w:r>
      <w:r w:rsidR="000A0848" w:rsidRPr="000A0848">
        <w:rPr>
          <w:rFonts w:ascii="Times New Roman" w:hAnsi="Times New Roman"/>
          <w:color w:val="444444"/>
          <w:sz w:val="27"/>
          <w:szCs w:val="27"/>
          <w:shd w:val="clear" w:color="auto" w:fill="FFFFFF"/>
          <w:lang w:val="en-GB"/>
        </w:rPr>
        <w:t> </w:t>
      </w:r>
      <w:r w:rsidR="000A0848" w:rsidRPr="001F5FC6">
        <w:rPr>
          <w:rFonts w:ascii="Calibri" w:hAnsi="Calibri"/>
          <w:i/>
          <w:iCs/>
          <w:szCs w:val="22"/>
          <w:shd w:val="clear" w:color="auto" w:fill="FFFFFF"/>
          <w:lang w:val="en-GB"/>
        </w:rPr>
        <w:t>Any changes in information shall be deemed material if there is a substantial likelihood that a reasonable investor, becoming aware of such information, would reconsider its investment, including because such information could impact an investor’s ability to exercise its rights in relation to its investment, or otherwise prejudice the interests of one or more investors</w:t>
      </w:r>
      <w:r w:rsidR="000A0848" w:rsidRPr="001F5FC6">
        <w:rPr>
          <w:rStyle w:val="FootnoteReference"/>
          <w:rFonts w:ascii="Calibri" w:hAnsi="Calibri"/>
          <w:i/>
          <w:iCs/>
          <w:szCs w:val="22"/>
          <w:shd w:val="clear" w:color="auto" w:fill="FFFFFF"/>
          <w:lang w:val="en-GB"/>
        </w:rPr>
        <w:footnoteReference w:id="18"/>
      </w:r>
      <w:r w:rsidR="000A0848" w:rsidRPr="001F5FC6">
        <w:rPr>
          <w:rFonts w:ascii="Calibri" w:hAnsi="Calibri"/>
          <w:i/>
          <w:iCs/>
          <w:szCs w:val="22"/>
          <w:shd w:val="clear" w:color="auto" w:fill="FFFFFF"/>
          <w:lang w:val="en-GB"/>
        </w:rPr>
        <w:t>.</w:t>
      </w:r>
    </w:p>
    <w:p w14:paraId="5D62CA0D" w14:textId="77777777" w:rsidR="00714504" w:rsidRPr="006F3EFC" w:rsidRDefault="00714504" w:rsidP="00714504">
      <w:pPr>
        <w:jc w:val="both"/>
        <w:rPr>
          <w:rFonts w:asciiTheme="minorHAnsi" w:hAnsiTheme="minorHAnsi" w:cs="Segoe UI"/>
          <w:sz w:val="20"/>
        </w:rPr>
      </w:pPr>
    </w:p>
    <w:p w14:paraId="31EE4DF5" w14:textId="77777777" w:rsidR="00714504" w:rsidRPr="00E3454A" w:rsidRDefault="00714504" w:rsidP="00E3454A">
      <w:pPr>
        <w:pStyle w:val="Heading2"/>
      </w:pPr>
      <w:bookmarkStart w:id="222" w:name="_Toc364001880"/>
      <w:bookmarkStart w:id="223" w:name="_Toc364343131"/>
      <w:bookmarkStart w:id="224" w:name="_Toc364343318"/>
      <w:bookmarkStart w:id="225" w:name="_Toc364343677"/>
      <w:bookmarkStart w:id="226" w:name="_Toc364635741"/>
      <w:bookmarkStart w:id="227" w:name="_Toc364636133"/>
      <w:bookmarkStart w:id="228" w:name="_Toc364636569"/>
      <w:bookmarkStart w:id="229" w:name="_Toc366502066"/>
      <w:bookmarkStart w:id="230" w:name="_Toc369907845"/>
      <w:bookmarkStart w:id="231" w:name="_Toc370052363"/>
      <w:bookmarkStart w:id="232" w:name="_Toc372234511"/>
      <w:bookmarkStart w:id="233" w:name="_Toc395871039"/>
      <w:bookmarkStart w:id="234" w:name="_Toc409468206"/>
      <w:r w:rsidRPr="00E3454A">
        <w:t>Itemisation of Charge Categories</w:t>
      </w:r>
      <w:bookmarkEnd w:id="222"/>
      <w:bookmarkEnd w:id="223"/>
      <w:bookmarkEnd w:id="224"/>
      <w:bookmarkEnd w:id="225"/>
      <w:bookmarkEnd w:id="226"/>
      <w:bookmarkEnd w:id="227"/>
      <w:bookmarkEnd w:id="228"/>
      <w:bookmarkEnd w:id="229"/>
      <w:bookmarkEnd w:id="230"/>
      <w:bookmarkEnd w:id="231"/>
      <w:bookmarkEnd w:id="232"/>
      <w:bookmarkEnd w:id="233"/>
      <w:bookmarkEnd w:id="234"/>
    </w:p>
    <w:p w14:paraId="1E3185CD" w14:textId="77777777" w:rsidR="00714504" w:rsidRPr="006F3EFC" w:rsidRDefault="00714504" w:rsidP="00714504">
      <w:pPr>
        <w:jc w:val="both"/>
        <w:rPr>
          <w:rFonts w:asciiTheme="minorHAnsi" w:hAnsiTheme="minorHAnsi" w:cs="Segoe UI"/>
          <w:sz w:val="20"/>
        </w:rPr>
      </w:pPr>
    </w:p>
    <w:p w14:paraId="6CE6BC1F" w14:textId="3832021B" w:rsidR="00714504" w:rsidRPr="00094024" w:rsidRDefault="00A62ED3" w:rsidP="00714504">
      <w:pPr>
        <w:jc w:val="both"/>
        <w:rPr>
          <w:rFonts w:asciiTheme="minorHAnsi" w:hAnsiTheme="minorHAnsi" w:cs="Segoe UI"/>
          <w:szCs w:val="22"/>
        </w:rPr>
      </w:pPr>
      <w:r>
        <w:rPr>
          <w:rFonts w:asciiTheme="minorHAnsi" w:hAnsiTheme="minorHAnsi" w:cs="Segoe UI"/>
          <w:szCs w:val="22"/>
        </w:rPr>
        <w:t>Whilst t</w:t>
      </w:r>
      <w:r w:rsidR="00714504" w:rsidRPr="00094024">
        <w:rPr>
          <w:rFonts w:asciiTheme="minorHAnsi" w:hAnsiTheme="minorHAnsi" w:cs="Segoe UI"/>
          <w:szCs w:val="22"/>
        </w:rPr>
        <w:t>here is no predefined layout for the Ex-Ante template</w:t>
      </w:r>
      <w:r>
        <w:rPr>
          <w:rFonts w:asciiTheme="minorHAnsi" w:hAnsiTheme="minorHAnsi" w:cs="Segoe UI"/>
          <w:szCs w:val="22"/>
        </w:rPr>
        <w:t>, t</w:t>
      </w:r>
      <w:r w:rsidR="00714504" w:rsidRPr="00094024">
        <w:rPr>
          <w:rFonts w:asciiTheme="minorHAnsi" w:hAnsiTheme="minorHAnsi" w:cs="Segoe UI"/>
          <w:szCs w:val="22"/>
        </w:rPr>
        <w:t xml:space="preserve">here are however pre-defined categories for the itemisation of the product and </w:t>
      </w:r>
      <w:r>
        <w:rPr>
          <w:rFonts w:asciiTheme="minorHAnsi" w:hAnsiTheme="minorHAnsi" w:cs="Segoe UI"/>
          <w:szCs w:val="22"/>
        </w:rPr>
        <w:t xml:space="preserve">the </w:t>
      </w:r>
      <w:r w:rsidR="00714504" w:rsidRPr="00094024">
        <w:rPr>
          <w:rFonts w:asciiTheme="minorHAnsi" w:hAnsiTheme="minorHAnsi" w:cs="Segoe UI"/>
          <w:szCs w:val="22"/>
        </w:rPr>
        <w:t>service costs. This</w:t>
      </w:r>
      <w:r>
        <w:rPr>
          <w:rFonts w:asciiTheme="minorHAnsi" w:hAnsiTheme="minorHAnsi" w:cs="Segoe UI"/>
          <w:szCs w:val="22"/>
        </w:rPr>
        <w:t xml:space="preserve"> detail</w:t>
      </w:r>
      <w:r w:rsidR="00714504" w:rsidRPr="00094024">
        <w:rPr>
          <w:rFonts w:asciiTheme="minorHAnsi" w:hAnsiTheme="minorHAnsi" w:cs="Segoe UI"/>
          <w:szCs w:val="22"/>
        </w:rPr>
        <w:t xml:space="preserve"> must be readily available if requested by the client. </w:t>
      </w:r>
    </w:p>
    <w:p w14:paraId="6ACBE95F" w14:textId="77777777" w:rsidR="00714504" w:rsidRPr="00094024" w:rsidRDefault="00714504" w:rsidP="00714504">
      <w:pPr>
        <w:jc w:val="both"/>
        <w:rPr>
          <w:rFonts w:asciiTheme="minorHAnsi" w:hAnsiTheme="minorHAnsi" w:cs="Segoe UI"/>
          <w:szCs w:val="22"/>
        </w:rPr>
      </w:pPr>
    </w:p>
    <w:p w14:paraId="2BC4C1F2" w14:textId="1D296201" w:rsidR="00714504" w:rsidRPr="00094024" w:rsidRDefault="00C30F8C" w:rsidP="00714504">
      <w:pPr>
        <w:jc w:val="both"/>
        <w:rPr>
          <w:rFonts w:asciiTheme="minorHAnsi" w:hAnsiTheme="minorHAnsi" w:cs="Segoe UI"/>
          <w:szCs w:val="22"/>
        </w:rPr>
      </w:pPr>
      <w:r>
        <w:rPr>
          <w:rFonts w:asciiTheme="minorHAnsi" w:hAnsiTheme="minorHAnsi" w:cs="Segoe UI"/>
          <w:szCs w:val="22"/>
        </w:rPr>
        <w:t>T</w:t>
      </w:r>
      <w:r w:rsidR="00714504" w:rsidRPr="00094024">
        <w:rPr>
          <w:rFonts w:asciiTheme="minorHAnsi" w:hAnsiTheme="minorHAnsi" w:cs="Segoe UI"/>
          <w:szCs w:val="22"/>
        </w:rPr>
        <w:t xml:space="preserve">he ESMA </w:t>
      </w:r>
      <w:r w:rsidR="00B20A6E">
        <w:rPr>
          <w:rFonts w:asciiTheme="minorHAnsi" w:hAnsiTheme="minorHAnsi" w:cs="Segoe UI"/>
          <w:szCs w:val="22"/>
        </w:rPr>
        <w:t xml:space="preserve">Investor Protection </w:t>
      </w:r>
      <w:r w:rsidR="00714504" w:rsidRPr="00094024">
        <w:rPr>
          <w:rFonts w:asciiTheme="minorHAnsi" w:hAnsiTheme="minorHAnsi" w:cs="Segoe UI"/>
          <w:szCs w:val="22"/>
        </w:rPr>
        <w:t>Q&amp;A 13 state</w:t>
      </w:r>
      <w:r>
        <w:rPr>
          <w:rFonts w:asciiTheme="minorHAnsi" w:hAnsiTheme="minorHAnsi" w:cs="Segoe UI"/>
          <w:szCs w:val="22"/>
        </w:rPr>
        <w:t>s</w:t>
      </w:r>
      <w:r w:rsidR="00714504" w:rsidRPr="00094024">
        <w:rPr>
          <w:rFonts w:asciiTheme="minorHAnsi" w:hAnsiTheme="minorHAnsi" w:cs="Segoe UI"/>
          <w:szCs w:val="22"/>
        </w:rPr>
        <w:t xml:space="preserve">: </w:t>
      </w:r>
    </w:p>
    <w:p w14:paraId="36513210" w14:textId="77777777" w:rsidR="00714504" w:rsidRPr="00094024" w:rsidRDefault="00714504" w:rsidP="00714504">
      <w:pPr>
        <w:jc w:val="both"/>
        <w:rPr>
          <w:rFonts w:asciiTheme="minorHAnsi" w:hAnsiTheme="minorHAnsi" w:cs="Segoe UI"/>
          <w:szCs w:val="22"/>
        </w:rPr>
      </w:pPr>
    </w:p>
    <w:p w14:paraId="63FA5EC9" w14:textId="77777777" w:rsidR="00714504" w:rsidRPr="00094024" w:rsidRDefault="00714504" w:rsidP="00714504">
      <w:pPr>
        <w:autoSpaceDE w:val="0"/>
        <w:autoSpaceDN w:val="0"/>
        <w:adjustRightInd w:val="0"/>
        <w:jc w:val="both"/>
        <w:rPr>
          <w:rFonts w:asciiTheme="minorHAnsi" w:hAnsiTheme="minorHAnsi" w:cs="Segoe UI"/>
          <w:i/>
          <w:szCs w:val="22"/>
        </w:rPr>
      </w:pPr>
      <w:r w:rsidRPr="00094024">
        <w:rPr>
          <w:rFonts w:asciiTheme="minorHAnsi" w:hAnsiTheme="minorHAnsi" w:cs="Segoe UI"/>
          <w:i/>
          <w:szCs w:val="22"/>
        </w:rPr>
        <w:t>“In addition, the investment firm shall provide an itemised breakdown at the request of the client. ESMA would expect that an investment firm take reasonable steps to minimise the effort for the client to submit such requests. When disclosing costs and charges in an online environment for instance, a best practice would be to enable the client to access such information through the use of hyperlinks. ESMA also considers it a best practice when an investment firm actively informs its clients on their right of submitting such a request when providing the aggregated information.</w:t>
      </w:r>
    </w:p>
    <w:p w14:paraId="28E0D859" w14:textId="77777777" w:rsidR="00B20A6E" w:rsidRDefault="00B20A6E" w:rsidP="00714504">
      <w:pPr>
        <w:autoSpaceDE w:val="0"/>
        <w:autoSpaceDN w:val="0"/>
        <w:adjustRightInd w:val="0"/>
        <w:jc w:val="both"/>
        <w:rPr>
          <w:rFonts w:asciiTheme="minorHAnsi" w:hAnsiTheme="minorHAnsi" w:cs="Segoe UI"/>
          <w:i/>
          <w:szCs w:val="22"/>
        </w:rPr>
      </w:pPr>
    </w:p>
    <w:p w14:paraId="17133018" w14:textId="77777777" w:rsidR="00714504" w:rsidRPr="00094024" w:rsidRDefault="00714504" w:rsidP="00714504">
      <w:pPr>
        <w:autoSpaceDE w:val="0"/>
        <w:autoSpaceDN w:val="0"/>
        <w:adjustRightInd w:val="0"/>
        <w:jc w:val="both"/>
        <w:rPr>
          <w:rFonts w:asciiTheme="minorHAnsi" w:hAnsiTheme="minorHAnsi" w:cs="Segoe UI"/>
          <w:i/>
          <w:szCs w:val="22"/>
        </w:rPr>
      </w:pPr>
      <w:r w:rsidRPr="00094024">
        <w:rPr>
          <w:rFonts w:asciiTheme="minorHAnsi" w:hAnsiTheme="minorHAnsi" w:cs="Segoe UI"/>
          <w:i/>
          <w:szCs w:val="22"/>
        </w:rPr>
        <w:t>When an itemized breakdown is requested by the client, an investment firm should provide such breakdown (in a consistent way such that cost items may be aggregated) at least at the level of the cost items that are depicted in the tables included in Annex II MiFID II Delegated Regulation”</w:t>
      </w:r>
    </w:p>
    <w:p w14:paraId="77075675" w14:textId="77777777" w:rsidR="00714504" w:rsidRPr="00094024" w:rsidRDefault="00714504" w:rsidP="00714504">
      <w:pPr>
        <w:autoSpaceDE w:val="0"/>
        <w:autoSpaceDN w:val="0"/>
        <w:adjustRightInd w:val="0"/>
        <w:jc w:val="both"/>
        <w:rPr>
          <w:rFonts w:asciiTheme="minorHAnsi" w:hAnsiTheme="minorHAnsi" w:cs="Segoe UI"/>
          <w:szCs w:val="22"/>
        </w:rPr>
      </w:pPr>
    </w:p>
    <w:p w14:paraId="6F8CC488" w14:textId="6DF6BF97" w:rsidR="00714504" w:rsidRDefault="00714504" w:rsidP="00714504">
      <w:pPr>
        <w:jc w:val="both"/>
        <w:rPr>
          <w:rFonts w:asciiTheme="minorHAnsi" w:hAnsiTheme="minorHAnsi" w:cs="Segoe UI"/>
          <w:szCs w:val="22"/>
        </w:rPr>
      </w:pPr>
      <w:r w:rsidRPr="00094024">
        <w:rPr>
          <w:rFonts w:asciiTheme="minorHAnsi" w:hAnsiTheme="minorHAnsi" w:cs="Segoe UI"/>
          <w:szCs w:val="22"/>
        </w:rPr>
        <w:t>Some investment firms may wish to provide a further level of granularity, but the tables in Annex II</w:t>
      </w:r>
      <w:r w:rsidRPr="00094024">
        <w:rPr>
          <w:rStyle w:val="FootnoteReference"/>
          <w:rFonts w:asciiTheme="minorHAnsi" w:hAnsiTheme="minorHAnsi" w:cs="Segoe UI"/>
          <w:szCs w:val="22"/>
        </w:rPr>
        <w:footnoteReference w:id="19"/>
      </w:r>
      <w:r w:rsidRPr="00094024">
        <w:rPr>
          <w:rFonts w:asciiTheme="minorHAnsi" w:hAnsiTheme="minorHAnsi" w:cs="Segoe UI"/>
          <w:szCs w:val="22"/>
        </w:rPr>
        <w:t xml:space="preserve"> are the minimum requirement</w:t>
      </w:r>
      <w:r w:rsidR="00A62ED3">
        <w:rPr>
          <w:rFonts w:asciiTheme="minorHAnsi" w:hAnsiTheme="minorHAnsi" w:cs="Segoe UI"/>
          <w:szCs w:val="22"/>
        </w:rPr>
        <w:t>.</w:t>
      </w:r>
      <w:r w:rsidR="00C30F8C">
        <w:rPr>
          <w:rFonts w:asciiTheme="minorHAnsi" w:hAnsiTheme="minorHAnsi" w:cs="Segoe UI"/>
          <w:szCs w:val="22"/>
        </w:rPr>
        <w:t xml:space="preserve">  See sections 3.2.2 and 3.2.3.</w:t>
      </w:r>
    </w:p>
    <w:p w14:paraId="39CCBD41" w14:textId="77777777" w:rsidR="00811518" w:rsidRPr="00094024" w:rsidRDefault="00811518" w:rsidP="00714504">
      <w:pPr>
        <w:jc w:val="both"/>
        <w:rPr>
          <w:rFonts w:asciiTheme="minorHAnsi" w:hAnsiTheme="minorHAnsi" w:cs="Segoe UI"/>
          <w:szCs w:val="22"/>
        </w:rPr>
      </w:pPr>
    </w:p>
    <w:p w14:paraId="708752B1" w14:textId="77777777" w:rsidR="00811518" w:rsidRPr="00E3454A" w:rsidRDefault="00811518" w:rsidP="0087645C">
      <w:pPr>
        <w:pStyle w:val="Heading3"/>
        <w:ind w:left="567"/>
      </w:pPr>
      <w:r w:rsidRPr="00FB74CF">
        <w:rPr>
          <w:rFonts w:asciiTheme="minorHAnsi" w:hAnsiTheme="minorHAnsi" w:cstheme="minorHAnsi"/>
        </w:rPr>
        <w:lastRenderedPageBreak/>
        <w:tab/>
      </w:r>
      <w:bookmarkStart w:id="235" w:name="_Toc366502067"/>
      <w:bookmarkStart w:id="236" w:name="_Toc369907846"/>
      <w:bookmarkStart w:id="237" w:name="_Toc370052364"/>
      <w:bookmarkStart w:id="238" w:name="_Toc372234512"/>
      <w:bookmarkStart w:id="239" w:name="_Toc395871040"/>
      <w:bookmarkStart w:id="240" w:name="_Toc409468207"/>
      <w:r w:rsidRPr="00D44378">
        <w:rPr>
          <w:rFonts w:ascii="Calibri" w:hAnsi="Calibri"/>
          <w:color w:val="auto"/>
          <w:sz w:val="24"/>
          <w:szCs w:val="24"/>
        </w:rPr>
        <w:t>Examples of Product costs</w:t>
      </w:r>
      <w:bookmarkEnd w:id="235"/>
      <w:bookmarkEnd w:id="236"/>
      <w:bookmarkEnd w:id="237"/>
      <w:bookmarkEnd w:id="238"/>
      <w:bookmarkEnd w:id="239"/>
      <w:bookmarkEnd w:id="240"/>
    </w:p>
    <w:p w14:paraId="127C38AE" w14:textId="77777777" w:rsidR="00811518" w:rsidRPr="006F3EFC" w:rsidRDefault="00811518" w:rsidP="00811518">
      <w:pPr>
        <w:jc w:val="both"/>
        <w:rPr>
          <w:rFonts w:asciiTheme="minorHAnsi" w:hAnsiTheme="minorHAnsi" w:cs="Segoe UI"/>
          <w:sz w:val="20"/>
        </w:rPr>
      </w:pPr>
    </w:p>
    <w:p w14:paraId="42971FBC" w14:textId="77777777" w:rsidR="00811518" w:rsidRPr="00331B33" w:rsidRDefault="00811518" w:rsidP="00811518">
      <w:pPr>
        <w:autoSpaceDE w:val="0"/>
        <w:autoSpaceDN w:val="0"/>
        <w:adjustRightInd w:val="0"/>
        <w:jc w:val="both"/>
        <w:rPr>
          <w:rFonts w:asciiTheme="minorHAnsi" w:hAnsiTheme="minorHAnsi" w:cs="Segoe UI"/>
          <w:szCs w:val="22"/>
        </w:rPr>
      </w:pPr>
      <w:r w:rsidRPr="00331B33">
        <w:rPr>
          <w:rFonts w:asciiTheme="minorHAnsi" w:hAnsiTheme="minorHAnsi" w:cs="Segoe UI"/>
          <w:szCs w:val="22"/>
        </w:rPr>
        <w:t xml:space="preserve">Products Costs are costs incurred by the fund that apply equally to all investors. </w:t>
      </w:r>
      <w:r>
        <w:rPr>
          <w:rFonts w:asciiTheme="minorHAnsi" w:hAnsiTheme="minorHAnsi" w:cs="Segoe UI"/>
          <w:szCs w:val="22"/>
        </w:rPr>
        <w:t xml:space="preserve"> The table below provides some further information of product cost items for funds.</w:t>
      </w:r>
    </w:p>
    <w:p w14:paraId="3AA955CD" w14:textId="77777777" w:rsidR="00811518" w:rsidRPr="006F3EFC" w:rsidRDefault="00811518" w:rsidP="00811518">
      <w:pPr>
        <w:jc w:val="both"/>
        <w:rPr>
          <w:rFonts w:asciiTheme="minorHAnsi" w:hAnsiTheme="minorHAnsi" w:cs="Segoe UI"/>
          <w:sz w:val="20"/>
        </w:rPr>
      </w:pPr>
    </w:p>
    <w:tbl>
      <w:tblPr>
        <w:tblW w:w="797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6005"/>
      </w:tblGrid>
      <w:tr w:rsidR="00811518" w:rsidRPr="006F3EFC" w14:paraId="55D8F38D" w14:textId="77777777" w:rsidTr="00B21F91">
        <w:trPr>
          <w:tblHeader/>
        </w:trPr>
        <w:tc>
          <w:tcPr>
            <w:tcW w:w="1591" w:type="dxa"/>
            <w:shd w:val="clear" w:color="auto" w:fill="1F497D"/>
            <w:vAlign w:val="center"/>
          </w:tcPr>
          <w:p w14:paraId="0D4D5F89" w14:textId="77777777" w:rsidR="00811518" w:rsidRPr="006F3EFC" w:rsidRDefault="00811518" w:rsidP="00B21F91">
            <w:pPr>
              <w:spacing w:before="60" w:after="60"/>
              <w:rPr>
                <w:rFonts w:asciiTheme="minorHAnsi" w:hAnsiTheme="minorHAnsi" w:cs="Segoe UI"/>
                <w:b/>
                <w:color w:val="FFFFFF"/>
                <w:sz w:val="20"/>
              </w:rPr>
            </w:pPr>
            <w:r w:rsidRPr="006F3EFC">
              <w:rPr>
                <w:rFonts w:asciiTheme="minorHAnsi" w:hAnsiTheme="minorHAnsi" w:cs="Segoe UI"/>
                <w:b/>
                <w:color w:val="FFFFFF"/>
                <w:sz w:val="20"/>
              </w:rPr>
              <w:t>Field</w:t>
            </w:r>
          </w:p>
        </w:tc>
        <w:tc>
          <w:tcPr>
            <w:tcW w:w="6379" w:type="dxa"/>
            <w:shd w:val="clear" w:color="auto" w:fill="1F497D"/>
            <w:vAlign w:val="center"/>
          </w:tcPr>
          <w:p w14:paraId="6C56B7E0" w14:textId="77777777" w:rsidR="00811518" w:rsidRPr="006F3EFC" w:rsidRDefault="00811518" w:rsidP="00B21F91">
            <w:pPr>
              <w:spacing w:before="60" w:after="60"/>
              <w:rPr>
                <w:rFonts w:asciiTheme="minorHAnsi" w:hAnsiTheme="minorHAnsi" w:cs="Segoe UI"/>
                <w:b/>
                <w:caps/>
                <w:color w:val="FFFFFF"/>
                <w:sz w:val="20"/>
              </w:rPr>
            </w:pPr>
            <w:r w:rsidRPr="006F3EFC">
              <w:rPr>
                <w:rFonts w:asciiTheme="minorHAnsi" w:hAnsiTheme="minorHAnsi" w:cs="Segoe UI"/>
                <w:b/>
                <w:color w:val="FFFFFF"/>
                <w:sz w:val="20"/>
              </w:rPr>
              <w:t>Description</w:t>
            </w:r>
          </w:p>
        </w:tc>
      </w:tr>
      <w:tr w:rsidR="00811518" w:rsidRPr="006F3EFC" w14:paraId="248A727C" w14:textId="77777777" w:rsidTr="00B21F91">
        <w:tc>
          <w:tcPr>
            <w:tcW w:w="1591" w:type="dxa"/>
            <w:vAlign w:val="center"/>
          </w:tcPr>
          <w:p w14:paraId="7F0446B4"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One-off Costs</w:t>
            </w:r>
          </w:p>
        </w:tc>
        <w:tc>
          <w:tcPr>
            <w:tcW w:w="6379" w:type="dxa"/>
            <w:vAlign w:val="center"/>
          </w:tcPr>
          <w:p w14:paraId="62196977" w14:textId="77777777" w:rsidR="00811518" w:rsidRPr="006F3EFC" w:rsidRDefault="00811518" w:rsidP="00B21F91">
            <w:pPr>
              <w:jc w:val="both"/>
              <w:rPr>
                <w:rFonts w:asciiTheme="minorHAnsi" w:hAnsiTheme="minorHAnsi" w:cs="Segoe UI"/>
                <w:sz w:val="20"/>
              </w:rPr>
            </w:pPr>
            <w:r w:rsidRPr="006F3EFC">
              <w:rPr>
                <w:rFonts w:asciiTheme="minorHAnsi" w:hAnsiTheme="minorHAnsi" w:cs="Segoe UI"/>
                <w:sz w:val="20"/>
              </w:rPr>
              <w:t xml:space="preserve">One-off Costs include entry and exit costs.  Some funds may charge an x% charge when investors are buying into the product. This amount will reduce the actual amount being invested. For example a £1,000 investment in a fund with a 3% entry cost will result in a £970 holding in the product. </w:t>
            </w:r>
          </w:p>
          <w:p w14:paraId="03EFE0A9" w14:textId="77777777" w:rsidR="00811518" w:rsidRPr="006F3EFC" w:rsidRDefault="00811518" w:rsidP="00B21F91">
            <w:pPr>
              <w:jc w:val="both"/>
              <w:rPr>
                <w:rFonts w:asciiTheme="minorHAnsi" w:hAnsiTheme="minorHAnsi" w:cs="Segoe UI"/>
                <w:sz w:val="20"/>
              </w:rPr>
            </w:pPr>
            <w:r w:rsidRPr="006F3EFC">
              <w:rPr>
                <w:rFonts w:asciiTheme="minorHAnsi" w:hAnsiTheme="minorHAnsi" w:cs="Segoe UI"/>
                <w:sz w:val="20"/>
              </w:rPr>
              <w:t>One-off Costs are applied to the gross investment amount</w:t>
            </w:r>
          </w:p>
        </w:tc>
      </w:tr>
      <w:tr w:rsidR="00811518" w:rsidRPr="006F3EFC" w14:paraId="6A410562" w14:textId="77777777" w:rsidTr="00B21F91">
        <w:tc>
          <w:tcPr>
            <w:tcW w:w="1591" w:type="dxa"/>
            <w:vAlign w:val="center"/>
          </w:tcPr>
          <w:p w14:paraId="6E56D6A3"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Ongoing Costs</w:t>
            </w:r>
          </w:p>
        </w:tc>
        <w:tc>
          <w:tcPr>
            <w:tcW w:w="6379" w:type="dxa"/>
            <w:vAlign w:val="center"/>
          </w:tcPr>
          <w:p w14:paraId="14751205"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 xml:space="preserve">All fund costs and expenses, including the Annual Management Charge.  </w:t>
            </w:r>
          </w:p>
        </w:tc>
      </w:tr>
      <w:tr w:rsidR="00811518" w:rsidRPr="006F3EFC" w14:paraId="34A7C156" w14:textId="77777777" w:rsidTr="00B21F91">
        <w:tc>
          <w:tcPr>
            <w:tcW w:w="1591" w:type="dxa"/>
            <w:vAlign w:val="center"/>
          </w:tcPr>
          <w:p w14:paraId="5B7869F3"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Transactions Costs</w:t>
            </w:r>
          </w:p>
        </w:tc>
        <w:tc>
          <w:tcPr>
            <w:tcW w:w="6379" w:type="dxa"/>
            <w:vAlign w:val="center"/>
          </w:tcPr>
          <w:p w14:paraId="358577F4"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Transactions costs can be divided into Explicit and Implicit Costs</w:t>
            </w:r>
          </w:p>
          <w:p w14:paraId="5C579BF6"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 xml:space="preserve">Explicit – the brokerage, tax and commission charges added to the transaction settlement amount. These costs can be clearly identified and quantified. </w:t>
            </w:r>
          </w:p>
          <w:p w14:paraId="280721C8"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 xml:space="preserve">Implicit – the Arrival Cost or Slippage. ESMA suggests MiFID II will read across to the PRIIPs regulatory text for the calculation methodology pertaining to the Arrival Cost. </w:t>
            </w:r>
          </w:p>
        </w:tc>
      </w:tr>
      <w:tr w:rsidR="00811518" w:rsidRPr="006F3EFC" w14:paraId="2CEDCC23" w14:textId="77777777" w:rsidTr="00B21F91">
        <w:tc>
          <w:tcPr>
            <w:tcW w:w="1591" w:type="dxa"/>
            <w:vAlign w:val="center"/>
          </w:tcPr>
          <w:p w14:paraId="22B0C541"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Incidental Costs</w:t>
            </w:r>
          </w:p>
        </w:tc>
        <w:tc>
          <w:tcPr>
            <w:tcW w:w="6379" w:type="dxa"/>
            <w:vAlign w:val="center"/>
          </w:tcPr>
          <w:p w14:paraId="728C0D40"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The performance fees</w:t>
            </w:r>
          </w:p>
          <w:p w14:paraId="01E54AC3" w14:textId="7C3A924E"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 xml:space="preserve">If historically a performance fee has been charged but has subsequently been eliminated, then </w:t>
            </w:r>
            <w:r w:rsidR="002C7771" w:rsidRPr="002C7771">
              <w:rPr>
                <w:rFonts w:asciiTheme="minorHAnsi" w:hAnsiTheme="minorHAnsi" w:cs="Segoe UI"/>
                <w:sz w:val="20"/>
              </w:rPr>
              <w:t>you should show n/a.</w:t>
            </w:r>
            <w:r w:rsidR="001F5FC6">
              <w:rPr>
                <w:rStyle w:val="FootnoteReference"/>
                <w:rFonts w:asciiTheme="minorHAnsi" w:hAnsiTheme="minorHAnsi" w:cs="Segoe UI"/>
                <w:sz w:val="20"/>
              </w:rPr>
              <w:footnoteReference w:id="20"/>
            </w:r>
          </w:p>
          <w:p w14:paraId="5471CDB7"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Performance fees apply to the net investment amount (after entry costs)</w:t>
            </w:r>
          </w:p>
        </w:tc>
      </w:tr>
    </w:tbl>
    <w:p w14:paraId="39BD1F5A" w14:textId="77777777" w:rsidR="00811518" w:rsidRPr="004F0CC7" w:rsidRDefault="00811518" w:rsidP="00811518">
      <w:pPr>
        <w:jc w:val="both"/>
        <w:rPr>
          <w:rFonts w:asciiTheme="minorHAnsi" w:hAnsiTheme="minorHAnsi" w:cs="Segoe UI"/>
          <w:szCs w:val="22"/>
        </w:rPr>
      </w:pPr>
    </w:p>
    <w:p w14:paraId="276881DC" w14:textId="2C5DC2A5" w:rsidR="00811518" w:rsidRPr="004F0CC7" w:rsidRDefault="00811518" w:rsidP="00811518">
      <w:pPr>
        <w:jc w:val="both"/>
        <w:rPr>
          <w:rFonts w:asciiTheme="minorHAnsi" w:hAnsiTheme="minorHAnsi" w:cs="Segoe UI"/>
          <w:szCs w:val="22"/>
        </w:rPr>
      </w:pPr>
      <w:r w:rsidRPr="004F0CC7">
        <w:rPr>
          <w:rFonts w:asciiTheme="minorHAnsi" w:hAnsiTheme="minorHAnsi" w:cs="Segoe UI"/>
          <w:szCs w:val="22"/>
        </w:rPr>
        <w:t xml:space="preserve">Please see </w:t>
      </w:r>
      <w:r w:rsidRPr="00EC5EBD">
        <w:rPr>
          <w:rFonts w:asciiTheme="minorHAnsi" w:hAnsiTheme="minorHAnsi" w:cs="Segoe UI"/>
          <w:szCs w:val="22"/>
        </w:rPr>
        <w:t>Chapter</w:t>
      </w:r>
      <w:r w:rsidR="00D44378">
        <w:rPr>
          <w:rFonts w:asciiTheme="minorHAnsi" w:hAnsiTheme="minorHAnsi" w:cs="Segoe UI"/>
          <w:szCs w:val="22"/>
        </w:rPr>
        <w:t xml:space="preserve"> 7 </w:t>
      </w:r>
      <w:r w:rsidRPr="004F0CC7">
        <w:rPr>
          <w:rFonts w:asciiTheme="minorHAnsi" w:hAnsiTheme="minorHAnsi" w:cs="Segoe UI"/>
          <w:szCs w:val="22"/>
        </w:rPr>
        <w:t xml:space="preserve">for further detail on which types of costs roll up to which categories. </w:t>
      </w:r>
    </w:p>
    <w:p w14:paraId="238F858F" w14:textId="3A71C08D" w:rsidR="00714504" w:rsidRPr="0023141E" w:rsidRDefault="00714504" w:rsidP="0087645C">
      <w:pPr>
        <w:pStyle w:val="Heading3"/>
        <w:ind w:left="567"/>
        <w:rPr>
          <w:rFonts w:ascii="Calibri" w:hAnsi="Calibri"/>
          <w:color w:val="auto"/>
          <w:sz w:val="24"/>
          <w:szCs w:val="24"/>
        </w:rPr>
      </w:pPr>
      <w:r w:rsidRPr="006F3EFC">
        <w:rPr>
          <w:rFonts w:asciiTheme="minorHAnsi" w:hAnsiTheme="minorHAnsi" w:cs="Segoe UI"/>
          <w:sz w:val="20"/>
        </w:rPr>
        <w:br w:type="page"/>
      </w:r>
      <w:bookmarkStart w:id="241" w:name="_Toc364635743"/>
      <w:bookmarkStart w:id="242" w:name="_Toc364636135"/>
      <w:bookmarkStart w:id="243" w:name="_Toc364636571"/>
      <w:bookmarkStart w:id="244" w:name="_Toc366502068"/>
      <w:bookmarkStart w:id="245" w:name="_Toc369907847"/>
      <w:bookmarkStart w:id="246" w:name="_Toc370052365"/>
      <w:bookmarkStart w:id="247" w:name="_Toc372234513"/>
      <w:bookmarkStart w:id="248" w:name="_Toc395871041"/>
      <w:bookmarkStart w:id="249" w:name="_Toc409468208"/>
      <w:r w:rsidRPr="0023141E">
        <w:rPr>
          <w:rFonts w:ascii="Calibri" w:hAnsi="Calibri"/>
          <w:color w:val="auto"/>
          <w:sz w:val="24"/>
          <w:szCs w:val="24"/>
        </w:rPr>
        <w:lastRenderedPageBreak/>
        <w:t xml:space="preserve">How are Product Costs </w:t>
      </w:r>
      <w:r w:rsidR="00FD4247">
        <w:rPr>
          <w:rFonts w:ascii="Calibri" w:hAnsi="Calibri"/>
          <w:color w:val="auto"/>
          <w:sz w:val="24"/>
          <w:szCs w:val="24"/>
        </w:rPr>
        <w:t xml:space="preserve">for asset managers </w:t>
      </w:r>
      <w:r w:rsidR="00063D15">
        <w:rPr>
          <w:rFonts w:ascii="Calibri" w:hAnsi="Calibri"/>
          <w:color w:val="auto"/>
          <w:sz w:val="24"/>
          <w:szCs w:val="24"/>
        </w:rPr>
        <w:t>obtained</w:t>
      </w:r>
      <w:r w:rsidRPr="0023141E">
        <w:rPr>
          <w:rFonts w:ascii="Calibri" w:hAnsi="Calibri"/>
          <w:color w:val="auto"/>
          <w:sz w:val="24"/>
          <w:szCs w:val="24"/>
        </w:rPr>
        <w:t>?</w:t>
      </w:r>
      <w:bookmarkEnd w:id="241"/>
      <w:bookmarkEnd w:id="242"/>
      <w:bookmarkEnd w:id="243"/>
      <w:bookmarkEnd w:id="244"/>
      <w:bookmarkEnd w:id="245"/>
      <w:bookmarkEnd w:id="246"/>
      <w:bookmarkEnd w:id="247"/>
      <w:bookmarkEnd w:id="248"/>
      <w:bookmarkEnd w:id="249"/>
    </w:p>
    <w:p w14:paraId="5403763F" w14:textId="77777777" w:rsidR="00714504" w:rsidRPr="006F3EFC" w:rsidRDefault="00714504" w:rsidP="00714504">
      <w:pPr>
        <w:jc w:val="both"/>
        <w:rPr>
          <w:rFonts w:asciiTheme="minorHAnsi" w:hAnsiTheme="minorHAnsi" w:cs="Segoe UI"/>
          <w:color w:val="FF0000"/>
          <w:sz w:val="20"/>
        </w:rPr>
      </w:pPr>
    </w:p>
    <w:p w14:paraId="591D787B" w14:textId="0F16F0E7" w:rsidR="00A62ED3" w:rsidRPr="00A62ED3" w:rsidRDefault="00063D15" w:rsidP="007D53AC">
      <w:pPr>
        <w:pStyle w:val="TOC1"/>
        <w:ind w:left="440"/>
      </w:pPr>
      <w:r>
        <w:t xml:space="preserve">Product costs </w:t>
      </w:r>
      <w:r w:rsidR="001A5CFE">
        <w:t xml:space="preserve">will be </w:t>
      </w:r>
      <w:r>
        <w:t xml:space="preserve">made </w:t>
      </w:r>
      <w:r w:rsidR="001A5CFE">
        <w:t>available where firms are using the EMT</w:t>
      </w:r>
      <w:r>
        <w:t xml:space="preserve">, </w:t>
      </w:r>
      <w:r w:rsidR="00AD29D0">
        <w:t xml:space="preserve">which TISA has endorsed, </w:t>
      </w:r>
      <w:r>
        <w:t>or equivalent data exchange process. This section explains how product suppliers calculate the figures therein</w:t>
      </w:r>
      <w:r w:rsidR="001A5CFE">
        <w:t xml:space="preserve">. </w:t>
      </w:r>
    </w:p>
    <w:p w14:paraId="46A51DEE" w14:textId="77777777" w:rsidR="00A62ED3" w:rsidRDefault="00A62ED3" w:rsidP="007D53AC">
      <w:pPr>
        <w:pStyle w:val="TOC1"/>
        <w:ind w:left="440"/>
      </w:pPr>
    </w:p>
    <w:p w14:paraId="23DC2AAD" w14:textId="77777777" w:rsidR="00714504" w:rsidRPr="00094024" w:rsidRDefault="00714504" w:rsidP="007D53AC">
      <w:pPr>
        <w:pStyle w:val="TOC1"/>
        <w:ind w:left="440"/>
      </w:pPr>
      <w:r w:rsidRPr="00094024">
        <w:t>One-off Costs</w:t>
      </w:r>
    </w:p>
    <w:p w14:paraId="505DF5E1" w14:textId="77777777" w:rsidR="00714504" w:rsidRPr="00094024" w:rsidRDefault="00714504" w:rsidP="007D53AC">
      <w:pPr>
        <w:ind w:left="1160"/>
        <w:jc w:val="both"/>
        <w:rPr>
          <w:rFonts w:asciiTheme="minorHAnsi" w:hAnsiTheme="minorHAnsi" w:cs="Segoe UI"/>
          <w:color w:val="FF0000"/>
          <w:szCs w:val="22"/>
        </w:rPr>
      </w:pPr>
    </w:p>
    <w:p w14:paraId="3FAE9A12" w14:textId="7E249133" w:rsidR="00714504" w:rsidRPr="00094024" w:rsidRDefault="00714504" w:rsidP="007D53AC">
      <w:pPr>
        <w:numPr>
          <w:ilvl w:val="0"/>
          <w:numId w:val="18"/>
        </w:numPr>
        <w:ind w:left="1160"/>
        <w:jc w:val="both"/>
        <w:rPr>
          <w:rFonts w:asciiTheme="minorHAnsi" w:hAnsiTheme="minorHAnsi" w:cs="Segoe UI"/>
          <w:szCs w:val="22"/>
        </w:rPr>
      </w:pPr>
      <w:r w:rsidRPr="00094024">
        <w:rPr>
          <w:rFonts w:asciiTheme="minorHAnsi" w:hAnsiTheme="minorHAnsi" w:cs="Segoe UI"/>
          <w:szCs w:val="22"/>
        </w:rPr>
        <w:t>Entry costs are represented as % figures (</w:t>
      </w:r>
      <w:r w:rsidR="00063D15">
        <w:rPr>
          <w:rFonts w:asciiTheme="minorHAnsi" w:hAnsiTheme="minorHAnsi" w:cs="Segoe UI"/>
          <w:szCs w:val="22"/>
        </w:rPr>
        <w:t>according to the suppliers actual charging policy and not the amounts reserved</w:t>
      </w:r>
      <w:r w:rsidRPr="00094024">
        <w:rPr>
          <w:rFonts w:asciiTheme="minorHAnsi" w:hAnsiTheme="minorHAnsi" w:cs="Segoe UI"/>
          <w:szCs w:val="22"/>
        </w:rPr>
        <w:t xml:space="preserve"> in the prospectus) and applied to the initial investment amount. </w:t>
      </w:r>
    </w:p>
    <w:p w14:paraId="28597C82" w14:textId="2451D26E" w:rsidR="00714504" w:rsidRPr="00094024" w:rsidRDefault="00714504" w:rsidP="007D53AC">
      <w:pPr>
        <w:numPr>
          <w:ilvl w:val="0"/>
          <w:numId w:val="18"/>
        </w:numPr>
        <w:ind w:left="1160"/>
        <w:jc w:val="both"/>
        <w:rPr>
          <w:rFonts w:asciiTheme="minorHAnsi" w:hAnsiTheme="minorHAnsi" w:cs="Segoe UI"/>
          <w:szCs w:val="22"/>
        </w:rPr>
      </w:pPr>
      <w:r w:rsidRPr="00094024">
        <w:rPr>
          <w:rFonts w:asciiTheme="minorHAnsi" w:hAnsiTheme="minorHAnsi" w:cs="Segoe UI"/>
          <w:szCs w:val="22"/>
        </w:rPr>
        <w:t xml:space="preserve">Historical data is not used to determine the Ex-Ante one-off costs for a fund. </w:t>
      </w:r>
    </w:p>
    <w:p w14:paraId="0C0A4426" w14:textId="6D14AE9A" w:rsidR="00714504" w:rsidRPr="00094024" w:rsidRDefault="00CA2382" w:rsidP="007D53AC">
      <w:pPr>
        <w:tabs>
          <w:tab w:val="left" w:pos="1643"/>
        </w:tabs>
        <w:ind w:left="1160"/>
        <w:jc w:val="both"/>
        <w:rPr>
          <w:rFonts w:asciiTheme="minorHAnsi" w:hAnsiTheme="minorHAnsi" w:cs="Segoe UI"/>
          <w:szCs w:val="22"/>
        </w:rPr>
      </w:pPr>
      <w:r>
        <w:rPr>
          <w:rFonts w:asciiTheme="minorHAnsi" w:hAnsiTheme="minorHAnsi" w:cs="Segoe UI"/>
          <w:szCs w:val="22"/>
        </w:rPr>
        <w:tab/>
      </w:r>
    </w:p>
    <w:p w14:paraId="00E50CC6" w14:textId="77777777" w:rsidR="00714504" w:rsidRPr="00094024" w:rsidRDefault="00714504" w:rsidP="007D53AC">
      <w:pPr>
        <w:pStyle w:val="TOC1"/>
        <w:ind w:left="440"/>
      </w:pPr>
      <w:r w:rsidRPr="00094024">
        <w:t>Ongoing Costs</w:t>
      </w:r>
    </w:p>
    <w:p w14:paraId="6E27A66C" w14:textId="77777777" w:rsidR="00714504" w:rsidRPr="00094024" w:rsidRDefault="00714504" w:rsidP="007D53AC">
      <w:pPr>
        <w:ind w:left="1160"/>
        <w:jc w:val="both"/>
        <w:rPr>
          <w:rFonts w:asciiTheme="minorHAnsi" w:hAnsiTheme="minorHAnsi" w:cs="Segoe UI"/>
          <w:color w:val="FF0000"/>
          <w:szCs w:val="22"/>
        </w:rPr>
      </w:pPr>
    </w:p>
    <w:p w14:paraId="76EF9506" w14:textId="15427F93" w:rsidR="007B5ABF" w:rsidRDefault="00063D15" w:rsidP="00063D15">
      <w:pPr>
        <w:numPr>
          <w:ilvl w:val="0"/>
          <w:numId w:val="17"/>
        </w:numPr>
        <w:ind w:left="1160"/>
        <w:jc w:val="both"/>
        <w:rPr>
          <w:rFonts w:asciiTheme="minorHAnsi" w:hAnsiTheme="minorHAnsi" w:cs="Segoe UI"/>
          <w:color w:val="000000"/>
          <w:szCs w:val="22"/>
        </w:rPr>
      </w:pPr>
      <w:r>
        <w:rPr>
          <w:rFonts w:asciiTheme="minorHAnsi" w:hAnsiTheme="minorHAnsi" w:cs="Segoe UI"/>
          <w:color w:val="000000"/>
          <w:szCs w:val="22"/>
        </w:rPr>
        <w:t>Actual ongoing charges calculated for the UCITS KIID or the PRIIPs KID</w:t>
      </w:r>
      <w:r w:rsidR="00714504" w:rsidRPr="00094024">
        <w:rPr>
          <w:rFonts w:asciiTheme="minorHAnsi" w:hAnsiTheme="minorHAnsi" w:cs="Segoe UI"/>
          <w:color w:val="000000"/>
          <w:szCs w:val="22"/>
        </w:rPr>
        <w:t xml:space="preserve"> (excluding performance fees) for the product over </w:t>
      </w:r>
      <w:r>
        <w:rPr>
          <w:rFonts w:asciiTheme="minorHAnsi" w:hAnsiTheme="minorHAnsi" w:cs="Segoe UI"/>
          <w:color w:val="000000"/>
          <w:szCs w:val="22"/>
        </w:rPr>
        <w:t>a</w:t>
      </w:r>
      <w:r w:rsidR="00714504" w:rsidRPr="00094024">
        <w:rPr>
          <w:rFonts w:asciiTheme="minorHAnsi" w:hAnsiTheme="minorHAnsi" w:cs="Segoe UI"/>
          <w:color w:val="000000"/>
          <w:szCs w:val="22"/>
        </w:rPr>
        <w:t xml:space="preserve"> 12 month</w:t>
      </w:r>
      <w:r>
        <w:rPr>
          <w:rFonts w:asciiTheme="minorHAnsi" w:hAnsiTheme="minorHAnsi" w:cs="Segoe UI"/>
          <w:color w:val="000000"/>
          <w:szCs w:val="22"/>
        </w:rPr>
        <w:t xml:space="preserve"> period.</w:t>
      </w:r>
    </w:p>
    <w:p w14:paraId="445817F1" w14:textId="7593B9D2" w:rsidR="00714504" w:rsidRPr="00094024" w:rsidRDefault="007B5ABF" w:rsidP="00063D15">
      <w:pPr>
        <w:numPr>
          <w:ilvl w:val="0"/>
          <w:numId w:val="17"/>
        </w:numPr>
        <w:ind w:left="1160"/>
        <w:jc w:val="both"/>
        <w:rPr>
          <w:rFonts w:asciiTheme="minorHAnsi" w:hAnsiTheme="minorHAnsi" w:cs="Segoe UI"/>
          <w:color w:val="000000"/>
          <w:szCs w:val="22"/>
        </w:rPr>
      </w:pPr>
      <w:r>
        <w:rPr>
          <w:rFonts w:asciiTheme="minorHAnsi" w:hAnsiTheme="minorHAnsi" w:cs="Segoe UI"/>
          <w:color w:val="000000"/>
          <w:szCs w:val="22"/>
        </w:rPr>
        <w:t>Expressed as a percentage of</w:t>
      </w:r>
      <w:r w:rsidR="00714504" w:rsidRPr="00094024">
        <w:rPr>
          <w:rFonts w:asciiTheme="minorHAnsi" w:hAnsiTheme="minorHAnsi" w:cs="Segoe UI"/>
          <w:color w:val="000000"/>
          <w:szCs w:val="22"/>
        </w:rPr>
        <w:t xml:space="preserve"> the average NAV of the product over the same period. (N.B. NAV/AUM of the fund, not the share</w:t>
      </w:r>
      <w:r w:rsidR="00A62ED3">
        <w:rPr>
          <w:rFonts w:asciiTheme="minorHAnsi" w:hAnsiTheme="minorHAnsi" w:cs="Segoe UI"/>
          <w:color w:val="000000"/>
          <w:szCs w:val="22"/>
        </w:rPr>
        <w:t xml:space="preserve"> </w:t>
      </w:r>
      <w:r w:rsidR="00714504" w:rsidRPr="00094024">
        <w:rPr>
          <w:rFonts w:asciiTheme="minorHAnsi" w:hAnsiTheme="minorHAnsi" w:cs="Segoe UI"/>
          <w:color w:val="000000"/>
          <w:szCs w:val="22"/>
        </w:rPr>
        <w:t>class price)</w:t>
      </w:r>
    </w:p>
    <w:p w14:paraId="029B6174" w14:textId="75AACB91" w:rsidR="00714504" w:rsidRPr="00094024" w:rsidRDefault="00714504" w:rsidP="007D53AC">
      <w:pPr>
        <w:numPr>
          <w:ilvl w:val="0"/>
          <w:numId w:val="17"/>
        </w:numPr>
        <w:ind w:left="1160"/>
        <w:jc w:val="both"/>
        <w:rPr>
          <w:rFonts w:asciiTheme="minorHAnsi" w:hAnsiTheme="minorHAnsi" w:cs="Segoe UI"/>
          <w:color w:val="000000"/>
          <w:szCs w:val="22"/>
        </w:rPr>
      </w:pPr>
      <w:r w:rsidRPr="00094024">
        <w:rPr>
          <w:rFonts w:asciiTheme="minorHAnsi" w:hAnsiTheme="minorHAnsi" w:cs="Segoe UI"/>
          <w:szCs w:val="22"/>
        </w:rPr>
        <w:t xml:space="preserve">Where a fund holds an underlying fund, the underlying fund’s charges </w:t>
      </w:r>
      <w:r w:rsidR="007B5ABF">
        <w:rPr>
          <w:rFonts w:asciiTheme="minorHAnsi" w:hAnsiTheme="minorHAnsi" w:cs="Segoe UI"/>
          <w:szCs w:val="22"/>
        </w:rPr>
        <w:t xml:space="preserve">will have been </w:t>
      </w:r>
      <w:r w:rsidRPr="00094024">
        <w:rPr>
          <w:rFonts w:asciiTheme="minorHAnsi" w:hAnsiTheme="minorHAnsi" w:cs="Segoe UI"/>
          <w:szCs w:val="22"/>
        </w:rPr>
        <w:t xml:space="preserve">incorporated into the </w:t>
      </w:r>
      <w:r w:rsidR="007B5ABF">
        <w:rPr>
          <w:rFonts w:asciiTheme="minorHAnsi" w:hAnsiTheme="minorHAnsi" w:cs="Segoe UI"/>
          <w:szCs w:val="22"/>
        </w:rPr>
        <w:t>o</w:t>
      </w:r>
      <w:r w:rsidRPr="00094024">
        <w:rPr>
          <w:rFonts w:asciiTheme="minorHAnsi" w:hAnsiTheme="minorHAnsi" w:cs="Segoe UI"/>
          <w:szCs w:val="22"/>
        </w:rPr>
        <w:t xml:space="preserve">ngoing </w:t>
      </w:r>
      <w:r w:rsidR="007B5ABF">
        <w:rPr>
          <w:rFonts w:asciiTheme="minorHAnsi" w:hAnsiTheme="minorHAnsi" w:cs="Segoe UI"/>
          <w:szCs w:val="22"/>
        </w:rPr>
        <w:t>c</w:t>
      </w:r>
      <w:r w:rsidRPr="00094024">
        <w:rPr>
          <w:rFonts w:asciiTheme="minorHAnsi" w:hAnsiTheme="minorHAnsi" w:cs="Segoe UI"/>
          <w:szCs w:val="22"/>
        </w:rPr>
        <w:t>harge</w:t>
      </w:r>
      <w:r w:rsidR="007B5ABF">
        <w:rPr>
          <w:rFonts w:asciiTheme="minorHAnsi" w:hAnsiTheme="minorHAnsi" w:cs="Segoe UI"/>
          <w:szCs w:val="22"/>
        </w:rPr>
        <w:t>s figure.</w:t>
      </w:r>
    </w:p>
    <w:p w14:paraId="0D44496F" w14:textId="77777777" w:rsidR="000B5CD9" w:rsidRPr="00094024" w:rsidRDefault="000B5CD9" w:rsidP="007D53AC">
      <w:pPr>
        <w:pStyle w:val="TOC1"/>
        <w:ind w:left="440"/>
      </w:pPr>
    </w:p>
    <w:p w14:paraId="1DF65E02" w14:textId="77777777" w:rsidR="00714504" w:rsidRPr="00094024" w:rsidRDefault="00714504" w:rsidP="007D53AC">
      <w:pPr>
        <w:pStyle w:val="TOC1"/>
        <w:ind w:left="440"/>
      </w:pPr>
      <w:r w:rsidRPr="00094024">
        <w:t>Transaction Costs</w:t>
      </w:r>
    </w:p>
    <w:p w14:paraId="35B5412E" w14:textId="5EF7857B" w:rsidR="00714504" w:rsidRPr="00094024" w:rsidRDefault="00714504" w:rsidP="007D53AC">
      <w:pPr>
        <w:ind w:left="1070"/>
        <w:jc w:val="both"/>
        <w:rPr>
          <w:rFonts w:asciiTheme="minorHAnsi" w:hAnsiTheme="minorHAnsi" w:cs="Segoe UI"/>
          <w:szCs w:val="22"/>
        </w:rPr>
      </w:pPr>
      <w:r w:rsidRPr="00094024">
        <w:rPr>
          <w:rFonts w:asciiTheme="minorHAnsi" w:hAnsiTheme="minorHAnsi" w:cs="Segoe UI"/>
          <w:szCs w:val="22"/>
        </w:rPr>
        <w:t>There are two types of transactions costs - explicit and implicit costs</w:t>
      </w:r>
      <w:r w:rsidR="00A62ED3">
        <w:rPr>
          <w:rFonts w:asciiTheme="minorHAnsi" w:hAnsiTheme="minorHAnsi" w:cs="Segoe UI"/>
          <w:szCs w:val="22"/>
        </w:rPr>
        <w:t>.</w:t>
      </w:r>
    </w:p>
    <w:p w14:paraId="05924154" w14:textId="77777777" w:rsidR="00714504" w:rsidRPr="00094024" w:rsidRDefault="00714504" w:rsidP="007D53AC">
      <w:pPr>
        <w:ind w:left="1070"/>
        <w:jc w:val="both"/>
        <w:rPr>
          <w:rFonts w:asciiTheme="minorHAnsi" w:hAnsiTheme="minorHAnsi" w:cs="Segoe UI"/>
          <w:szCs w:val="22"/>
        </w:rPr>
      </w:pPr>
    </w:p>
    <w:p w14:paraId="56E0EF28" w14:textId="1F5B49C1" w:rsidR="00714504" w:rsidRPr="007D53AC" w:rsidRDefault="00714504" w:rsidP="007D53AC">
      <w:pPr>
        <w:numPr>
          <w:ilvl w:val="0"/>
          <w:numId w:val="24"/>
        </w:numPr>
        <w:shd w:val="clear" w:color="auto" w:fill="FFFFFF"/>
        <w:spacing w:after="150"/>
        <w:ind w:left="1160"/>
        <w:jc w:val="both"/>
        <w:rPr>
          <w:rFonts w:asciiTheme="minorHAnsi" w:hAnsiTheme="minorHAnsi"/>
          <w:lang w:val="en"/>
        </w:rPr>
      </w:pPr>
      <w:r w:rsidRPr="007D53AC">
        <w:rPr>
          <w:rFonts w:asciiTheme="minorHAnsi" w:hAnsiTheme="minorHAnsi"/>
          <w:b/>
          <w:lang w:val="en"/>
        </w:rPr>
        <w:t xml:space="preserve">Explicit costs </w:t>
      </w:r>
      <w:r w:rsidRPr="007D53AC">
        <w:rPr>
          <w:rFonts w:asciiTheme="minorHAnsi" w:hAnsiTheme="minorHAnsi"/>
          <w:lang w:val="en"/>
        </w:rPr>
        <w:t>are costs charged to and paid directly by the fund and include Brokers Commission, Transaction Taxes and Fees, these should all be known or easily identifiable by the investment managers</w:t>
      </w:r>
      <w:r w:rsidR="007B5ABF">
        <w:rPr>
          <w:rFonts w:asciiTheme="minorHAnsi" w:hAnsiTheme="minorHAnsi"/>
          <w:lang w:val="en"/>
        </w:rPr>
        <w:t>’</w:t>
      </w:r>
      <w:r w:rsidRPr="007D53AC">
        <w:rPr>
          <w:rFonts w:asciiTheme="minorHAnsi" w:hAnsiTheme="minorHAnsi"/>
          <w:lang w:val="en"/>
        </w:rPr>
        <w:t xml:space="preserve"> order management and transaction cost analysis systems. </w:t>
      </w:r>
    </w:p>
    <w:p w14:paraId="0E43C1DA" w14:textId="0C293F58" w:rsidR="00714504" w:rsidRPr="001F5FC6" w:rsidRDefault="00714504" w:rsidP="007D53AC">
      <w:pPr>
        <w:numPr>
          <w:ilvl w:val="0"/>
          <w:numId w:val="24"/>
        </w:numPr>
        <w:shd w:val="clear" w:color="auto" w:fill="FFFFFF"/>
        <w:spacing w:after="150"/>
        <w:ind w:left="1160"/>
        <w:jc w:val="both"/>
        <w:rPr>
          <w:rFonts w:asciiTheme="minorHAnsi" w:hAnsiTheme="minorHAnsi" w:cs="Segoe UI"/>
          <w:szCs w:val="22"/>
        </w:rPr>
      </w:pPr>
      <w:r w:rsidRPr="007D53AC">
        <w:rPr>
          <w:rFonts w:asciiTheme="minorHAnsi" w:hAnsiTheme="minorHAnsi"/>
          <w:b/>
          <w:lang w:val="en"/>
        </w:rPr>
        <w:t xml:space="preserve">Implicit Costs </w:t>
      </w:r>
      <w:r w:rsidRPr="007D53AC">
        <w:rPr>
          <w:rFonts w:asciiTheme="minorHAnsi" w:hAnsiTheme="minorHAnsi"/>
          <w:lang w:val="en"/>
        </w:rPr>
        <w:t>are not an actual discrete cost charged to a fund, implicit costs under the Arrival Price methodology relate to the cost differential between the mid-market price of an asset immediately before the order is placed in the market and the price that the deal is struck at. It represents the</w:t>
      </w:r>
      <w:r w:rsidR="007B5ABF">
        <w:rPr>
          <w:rFonts w:asciiTheme="minorHAnsi" w:hAnsiTheme="minorHAnsi"/>
          <w:lang w:val="en"/>
        </w:rPr>
        <w:t xml:space="preserve"> loss of value</w:t>
      </w:r>
      <w:r w:rsidRPr="007D53AC">
        <w:rPr>
          <w:rFonts w:asciiTheme="minorHAnsi" w:hAnsiTheme="minorHAnsi"/>
          <w:lang w:val="en"/>
        </w:rPr>
        <w:t xml:space="preserve"> of taking an asset into a fund. The implicit cost could be either positive or negative and could vary greatly dependent on the liquidity of the stock being invested in, with smaller cap stocks having a larger spreads the dealing costs for these and the overall cost for small cap funds could be larger than those of a large cap fund investing in more liquid assets. </w:t>
      </w:r>
    </w:p>
    <w:p w14:paraId="6FFD2EAE" w14:textId="31B91C0F" w:rsidR="007B5ABF" w:rsidRPr="007B5ABF" w:rsidRDefault="007B5ABF" w:rsidP="007D53AC">
      <w:pPr>
        <w:numPr>
          <w:ilvl w:val="0"/>
          <w:numId w:val="24"/>
        </w:numPr>
        <w:shd w:val="clear" w:color="auto" w:fill="FFFFFF"/>
        <w:spacing w:after="150"/>
        <w:ind w:left="1160"/>
        <w:jc w:val="both"/>
        <w:rPr>
          <w:rFonts w:asciiTheme="minorHAnsi" w:hAnsiTheme="minorHAnsi" w:cs="Segoe UI"/>
          <w:szCs w:val="22"/>
        </w:rPr>
      </w:pPr>
      <w:r w:rsidRPr="001F5FC6">
        <w:rPr>
          <w:rFonts w:asciiTheme="minorHAnsi" w:hAnsiTheme="minorHAnsi"/>
          <w:lang w:val="en"/>
        </w:rPr>
        <w:t xml:space="preserve">Transaction costs are expressed as % </w:t>
      </w:r>
      <w:r>
        <w:rPr>
          <w:rFonts w:asciiTheme="minorHAnsi" w:hAnsiTheme="minorHAnsi"/>
          <w:lang w:val="en"/>
        </w:rPr>
        <w:t xml:space="preserve">per annum </w:t>
      </w:r>
      <w:r w:rsidRPr="001F5FC6">
        <w:rPr>
          <w:rFonts w:asciiTheme="minorHAnsi" w:hAnsiTheme="minorHAnsi"/>
          <w:lang w:val="en"/>
        </w:rPr>
        <w:t>of the average NAV</w:t>
      </w:r>
      <w:r>
        <w:rPr>
          <w:rFonts w:asciiTheme="minorHAnsi" w:hAnsiTheme="minorHAnsi"/>
          <w:lang w:val="en"/>
        </w:rPr>
        <w:t>.</w:t>
      </w:r>
    </w:p>
    <w:p w14:paraId="0C1CC94A" w14:textId="0D71C2F1" w:rsidR="00714504" w:rsidRPr="00331B33" w:rsidRDefault="005B7173" w:rsidP="007D53AC">
      <w:pPr>
        <w:ind w:left="1070"/>
        <w:jc w:val="both"/>
        <w:rPr>
          <w:rFonts w:asciiTheme="minorHAnsi" w:hAnsiTheme="minorHAnsi" w:cs="Segoe UI"/>
          <w:szCs w:val="22"/>
        </w:rPr>
      </w:pPr>
      <w:r w:rsidRPr="00331B33">
        <w:rPr>
          <w:rFonts w:asciiTheme="minorHAnsi" w:hAnsiTheme="minorHAnsi" w:cs="Segoe UI"/>
          <w:szCs w:val="22"/>
        </w:rPr>
        <w:t>To note</w:t>
      </w:r>
      <w:r>
        <w:rPr>
          <w:rFonts w:asciiTheme="minorHAnsi" w:hAnsiTheme="minorHAnsi" w:cs="Segoe UI"/>
          <w:szCs w:val="22"/>
        </w:rPr>
        <w:t xml:space="preserve"> – the PRIIPS Delegated Regulation</w:t>
      </w:r>
      <w:r>
        <w:rPr>
          <w:rStyle w:val="FootnoteReference"/>
          <w:rFonts w:asciiTheme="minorHAnsi" w:hAnsiTheme="minorHAnsi" w:cs="Segoe UI"/>
          <w:szCs w:val="22"/>
        </w:rPr>
        <w:footnoteReference w:id="21"/>
      </w:r>
      <w:r>
        <w:rPr>
          <w:rFonts w:asciiTheme="minorHAnsi" w:hAnsiTheme="minorHAnsi" w:cs="Segoe UI"/>
          <w:szCs w:val="22"/>
        </w:rPr>
        <w:t xml:space="preserve"> along with the </w:t>
      </w:r>
      <w:r w:rsidR="00517119">
        <w:rPr>
          <w:rFonts w:asciiTheme="minorHAnsi" w:hAnsiTheme="minorHAnsi" w:cs="Segoe UI"/>
          <w:szCs w:val="22"/>
        </w:rPr>
        <w:t xml:space="preserve">joint </w:t>
      </w:r>
      <w:r>
        <w:rPr>
          <w:rFonts w:asciiTheme="minorHAnsi" w:hAnsiTheme="minorHAnsi" w:cs="Segoe UI"/>
          <w:szCs w:val="22"/>
        </w:rPr>
        <w:t>ESA</w:t>
      </w:r>
      <w:r w:rsidR="00517119">
        <w:rPr>
          <w:rFonts w:asciiTheme="minorHAnsi" w:hAnsiTheme="minorHAnsi" w:cs="Segoe UI"/>
          <w:szCs w:val="22"/>
        </w:rPr>
        <w:t>s</w:t>
      </w:r>
      <w:r>
        <w:rPr>
          <w:rFonts w:asciiTheme="minorHAnsi" w:hAnsiTheme="minorHAnsi" w:cs="Segoe UI"/>
          <w:szCs w:val="22"/>
        </w:rPr>
        <w:t xml:space="preserve"> PRIIPS Q &amp; A</w:t>
      </w:r>
      <w:r>
        <w:rPr>
          <w:rStyle w:val="FootnoteReference"/>
          <w:rFonts w:asciiTheme="minorHAnsi" w:hAnsiTheme="minorHAnsi" w:cs="Segoe UI"/>
          <w:szCs w:val="22"/>
        </w:rPr>
        <w:footnoteReference w:id="22"/>
      </w:r>
      <w:r>
        <w:rPr>
          <w:rFonts w:asciiTheme="minorHAnsi" w:hAnsiTheme="minorHAnsi" w:cs="Segoe UI"/>
          <w:szCs w:val="22"/>
        </w:rPr>
        <w:t xml:space="preserve"> provide further detail on the transaction cost calculations.</w:t>
      </w:r>
    </w:p>
    <w:p w14:paraId="4762D2F4" w14:textId="77777777" w:rsidR="00714504" w:rsidRPr="006F3EFC" w:rsidRDefault="00714504" w:rsidP="006757FC">
      <w:pPr>
        <w:ind w:left="0"/>
        <w:jc w:val="both"/>
        <w:rPr>
          <w:rFonts w:asciiTheme="minorHAnsi" w:hAnsiTheme="minorHAnsi" w:cs="Segoe UI"/>
          <w:sz w:val="20"/>
        </w:rPr>
      </w:pPr>
    </w:p>
    <w:p w14:paraId="3543C7E3" w14:textId="77777777" w:rsidR="00714504" w:rsidRPr="005B7173" w:rsidRDefault="00714504" w:rsidP="007D53AC">
      <w:pPr>
        <w:pStyle w:val="TOC1"/>
        <w:ind w:left="440"/>
      </w:pPr>
      <w:r w:rsidRPr="005B7173">
        <w:t>Incidental Costs</w:t>
      </w:r>
    </w:p>
    <w:p w14:paraId="045822DD" w14:textId="77777777" w:rsidR="00714504" w:rsidRPr="006F3EFC" w:rsidRDefault="00714504" w:rsidP="007D53AC">
      <w:pPr>
        <w:ind w:left="1160"/>
        <w:jc w:val="both"/>
        <w:rPr>
          <w:rFonts w:asciiTheme="minorHAnsi" w:hAnsiTheme="minorHAnsi" w:cs="Segoe UI"/>
          <w:color w:val="000000"/>
          <w:sz w:val="20"/>
        </w:rPr>
      </w:pPr>
    </w:p>
    <w:p w14:paraId="2115FE85" w14:textId="33A2786D" w:rsidR="00714504" w:rsidRPr="007B5ABF" w:rsidRDefault="007B5ABF" w:rsidP="001F5FC6">
      <w:pPr>
        <w:numPr>
          <w:ilvl w:val="0"/>
          <w:numId w:val="19"/>
        </w:numPr>
        <w:ind w:left="1160"/>
        <w:jc w:val="both"/>
        <w:rPr>
          <w:rFonts w:asciiTheme="minorHAnsi" w:hAnsiTheme="minorHAnsi" w:cs="Segoe UI"/>
          <w:color w:val="000000"/>
          <w:szCs w:val="22"/>
        </w:rPr>
      </w:pPr>
      <w:r w:rsidRPr="007B5ABF">
        <w:rPr>
          <w:rFonts w:asciiTheme="minorHAnsi" w:hAnsiTheme="minorHAnsi" w:cs="Segoe UI"/>
          <w:color w:val="000000"/>
          <w:szCs w:val="22"/>
        </w:rPr>
        <w:t>P</w:t>
      </w:r>
      <w:r w:rsidR="00714504" w:rsidRPr="007B5ABF">
        <w:rPr>
          <w:rFonts w:asciiTheme="minorHAnsi" w:hAnsiTheme="minorHAnsi" w:cs="Segoe UI"/>
          <w:color w:val="000000"/>
          <w:szCs w:val="22"/>
        </w:rPr>
        <w:t xml:space="preserve">erformance fees and/or carried interest for the product </w:t>
      </w:r>
      <w:r w:rsidRPr="007B5ABF">
        <w:rPr>
          <w:rFonts w:asciiTheme="minorHAnsi" w:hAnsiTheme="minorHAnsi" w:cs="Segoe UI"/>
          <w:color w:val="000000"/>
          <w:szCs w:val="22"/>
        </w:rPr>
        <w:t xml:space="preserve">expressed </w:t>
      </w:r>
      <w:r w:rsidRPr="009E54AF">
        <w:rPr>
          <w:rFonts w:asciiTheme="minorHAnsi" w:hAnsiTheme="minorHAnsi"/>
          <w:lang w:val="en"/>
        </w:rPr>
        <w:t xml:space="preserve">% </w:t>
      </w:r>
      <w:r>
        <w:rPr>
          <w:rFonts w:asciiTheme="minorHAnsi" w:hAnsiTheme="minorHAnsi"/>
          <w:lang w:val="en"/>
        </w:rPr>
        <w:t xml:space="preserve">per annum </w:t>
      </w:r>
      <w:r w:rsidRPr="009E54AF">
        <w:rPr>
          <w:rFonts w:asciiTheme="minorHAnsi" w:hAnsiTheme="minorHAnsi"/>
          <w:lang w:val="en"/>
        </w:rPr>
        <w:t>of the average NAV</w:t>
      </w:r>
      <w:r>
        <w:rPr>
          <w:rFonts w:asciiTheme="minorHAnsi" w:hAnsiTheme="minorHAnsi"/>
          <w:lang w:val="en"/>
        </w:rPr>
        <w:t>.</w:t>
      </w:r>
    </w:p>
    <w:p w14:paraId="63D208AF" w14:textId="77777777" w:rsidR="00714504" w:rsidRPr="006F3EFC" w:rsidRDefault="00714504" w:rsidP="007D53AC">
      <w:pPr>
        <w:ind w:left="1160"/>
        <w:jc w:val="both"/>
        <w:rPr>
          <w:rFonts w:asciiTheme="minorHAnsi" w:hAnsiTheme="minorHAnsi" w:cs="Segoe UI"/>
          <w:color w:val="FF0000"/>
          <w:sz w:val="20"/>
        </w:rPr>
      </w:pPr>
    </w:p>
    <w:p w14:paraId="6A900DBD" w14:textId="77777777" w:rsidR="00811518" w:rsidRPr="00D44378" w:rsidRDefault="00811518" w:rsidP="0087645C">
      <w:pPr>
        <w:pStyle w:val="Heading3"/>
        <w:ind w:left="709"/>
        <w:rPr>
          <w:rFonts w:asciiTheme="minorHAnsi" w:eastAsia="Times New Roman" w:hAnsiTheme="minorHAnsi" w:cs="Times New Roman"/>
          <w:bCs w:val="0"/>
          <w:color w:val="auto"/>
          <w:szCs w:val="22"/>
        </w:rPr>
      </w:pPr>
      <w:bookmarkStart w:id="250" w:name="_Toc366502069"/>
      <w:bookmarkStart w:id="251" w:name="_Toc369907848"/>
      <w:bookmarkStart w:id="252" w:name="_Toc370052366"/>
      <w:bookmarkStart w:id="253" w:name="_Toc372234514"/>
      <w:bookmarkStart w:id="254" w:name="_Toc395871042"/>
      <w:bookmarkStart w:id="255" w:name="_Toc409468209"/>
      <w:bookmarkStart w:id="256" w:name="_Toc364001883"/>
      <w:bookmarkStart w:id="257" w:name="_Toc364343134"/>
      <w:bookmarkStart w:id="258" w:name="_Toc364343321"/>
      <w:bookmarkStart w:id="259" w:name="_Toc364343680"/>
      <w:bookmarkStart w:id="260" w:name="_Toc364635745"/>
      <w:bookmarkStart w:id="261" w:name="_Toc364636137"/>
      <w:bookmarkStart w:id="262" w:name="_Toc364636573"/>
      <w:r w:rsidRPr="00D44378">
        <w:rPr>
          <w:rFonts w:asciiTheme="minorHAnsi" w:eastAsia="Times New Roman" w:hAnsiTheme="minorHAnsi" w:cs="Times New Roman"/>
          <w:bCs w:val="0"/>
          <w:color w:val="auto"/>
          <w:szCs w:val="22"/>
        </w:rPr>
        <w:t>Service Costs</w:t>
      </w:r>
      <w:bookmarkEnd w:id="250"/>
      <w:bookmarkEnd w:id="251"/>
      <w:bookmarkEnd w:id="252"/>
      <w:bookmarkEnd w:id="253"/>
      <w:bookmarkEnd w:id="254"/>
      <w:bookmarkEnd w:id="255"/>
    </w:p>
    <w:p w14:paraId="336BF7C8" w14:textId="77777777" w:rsidR="00811518" w:rsidRPr="006F3EFC" w:rsidRDefault="00811518" w:rsidP="00811518">
      <w:pPr>
        <w:jc w:val="both"/>
        <w:rPr>
          <w:rFonts w:asciiTheme="minorHAnsi" w:hAnsiTheme="minorHAnsi" w:cs="Segoe UI"/>
          <w:sz w:val="20"/>
        </w:rPr>
      </w:pPr>
    </w:p>
    <w:p w14:paraId="500D919E" w14:textId="77777777" w:rsidR="00811518" w:rsidRPr="00331B33" w:rsidRDefault="00811518" w:rsidP="00811518">
      <w:pPr>
        <w:jc w:val="both"/>
        <w:rPr>
          <w:rFonts w:asciiTheme="minorHAnsi" w:hAnsiTheme="minorHAnsi" w:cs="Segoe UI"/>
          <w:color w:val="000000"/>
          <w:szCs w:val="22"/>
        </w:rPr>
      </w:pPr>
      <w:r w:rsidRPr="00331B33">
        <w:rPr>
          <w:rFonts w:asciiTheme="minorHAnsi" w:hAnsiTheme="minorHAnsi" w:cs="Segoe UI"/>
          <w:color w:val="000000"/>
          <w:szCs w:val="22"/>
        </w:rPr>
        <w:t>Investment Firms must capture all costs that are charged to their clients for the provision of the investment service. Some examples relating to funds are</w:t>
      </w:r>
      <w:r>
        <w:rPr>
          <w:rFonts w:asciiTheme="minorHAnsi" w:hAnsiTheme="minorHAnsi" w:cs="Segoe UI"/>
          <w:color w:val="000000"/>
          <w:szCs w:val="22"/>
        </w:rPr>
        <w:t xml:space="preserve"> set out</w:t>
      </w:r>
      <w:r w:rsidRPr="00331B33">
        <w:rPr>
          <w:rFonts w:asciiTheme="minorHAnsi" w:hAnsiTheme="minorHAnsi" w:cs="Segoe UI"/>
          <w:color w:val="000000"/>
          <w:szCs w:val="22"/>
        </w:rPr>
        <w:t xml:space="preserve"> below</w:t>
      </w:r>
      <w:r>
        <w:rPr>
          <w:rFonts w:asciiTheme="minorHAnsi" w:hAnsiTheme="minorHAnsi" w:cs="Segoe UI"/>
          <w:color w:val="000000"/>
          <w:szCs w:val="22"/>
        </w:rPr>
        <w:t>.</w:t>
      </w:r>
    </w:p>
    <w:p w14:paraId="33982BB2" w14:textId="77777777" w:rsidR="00811518" w:rsidRPr="006F3EFC" w:rsidRDefault="00811518" w:rsidP="00811518">
      <w:pPr>
        <w:jc w:val="both"/>
        <w:rPr>
          <w:rFonts w:asciiTheme="minorHAnsi" w:hAnsiTheme="minorHAnsi" w:cs="Segoe UI"/>
          <w:sz w:val="20"/>
        </w:rPr>
      </w:pPr>
    </w:p>
    <w:tbl>
      <w:tblPr>
        <w:tblW w:w="797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5954"/>
      </w:tblGrid>
      <w:tr w:rsidR="00811518" w:rsidRPr="006F3EFC" w14:paraId="334131C1" w14:textId="77777777" w:rsidTr="00B21F91">
        <w:trPr>
          <w:tblHeader/>
        </w:trPr>
        <w:tc>
          <w:tcPr>
            <w:tcW w:w="2016" w:type="dxa"/>
            <w:shd w:val="clear" w:color="auto" w:fill="1F497D"/>
            <w:vAlign w:val="center"/>
          </w:tcPr>
          <w:p w14:paraId="6FD12893" w14:textId="77777777" w:rsidR="00811518" w:rsidRPr="006F3EFC" w:rsidRDefault="00811518" w:rsidP="00B21F91">
            <w:pPr>
              <w:spacing w:before="60" w:after="60"/>
              <w:rPr>
                <w:rFonts w:asciiTheme="minorHAnsi" w:hAnsiTheme="minorHAnsi" w:cs="Segoe UI"/>
                <w:b/>
                <w:color w:val="FFFFFF"/>
                <w:sz w:val="20"/>
              </w:rPr>
            </w:pPr>
            <w:r w:rsidRPr="006F3EFC">
              <w:rPr>
                <w:rFonts w:asciiTheme="minorHAnsi" w:hAnsiTheme="minorHAnsi" w:cs="Segoe UI"/>
                <w:b/>
                <w:color w:val="FFFFFF"/>
                <w:sz w:val="20"/>
              </w:rPr>
              <w:t>Field</w:t>
            </w:r>
          </w:p>
        </w:tc>
        <w:tc>
          <w:tcPr>
            <w:tcW w:w="5954" w:type="dxa"/>
            <w:shd w:val="clear" w:color="auto" w:fill="1F497D"/>
            <w:vAlign w:val="center"/>
          </w:tcPr>
          <w:p w14:paraId="460E723C" w14:textId="77777777" w:rsidR="00811518" w:rsidRPr="006F3EFC" w:rsidRDefault="00811518" w:rsidP="00B21F91">
            <w:pPr>
              <w:spacing w:before="60" w:after="60"/>
              <w:rPr>
                <w:rFonts w:asciiTheme="minorHAnsi" w:hAnsiTheme="minorHAnsi" w:cs="Segoe UI"/>
                <w:b/>
                <w:caps/>
                <w:color w:val="FFFFFF"/>
                <w:sz w:val="20"/>
              </w:rPr>
            </w:pPr>
            <w:r w:rsidRPr="006F3EFC">
              <w:rPr>
                <w:rFonts w:asciiTheme="minorHAnsi" w:hAnsiTheme="minorHAnsi" w:cs="Segoe UI"/>
                <w:b/>
                <w:color w:val="FFFFFF"/>
                <w:sz w:val="20"/>
              </w:rPr>
              <w:t>Description</w:t>
            </w:r>
          </w:p>
        </w:tc>
      </w:tr>
      <w:tr w:rsidR="00811518" w:rsidRPr="006F3EFC" w14:paraId="53E170CC" w14:textId="77777777" w:rsidTr="00B21F91">
        <w:tc>
          <w:tcPr>
            <w:tcW w:w="2016" w:type="dxa"/>
            <w:vAlign w:val="center"/>
          </w:tcPr>
          <w:p w14:paraId="671E774D"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One-off Costs</w:t>
            </w:r>
          </w:p>
        </w:tc>
        <w:tc>
          <w:tcPr>
            <w:tcW w:w="5954" w:type="dxa"/>
            <w:vAlign w:val="center"/>
          </w:tcPr>
          <w:p w14:paraId="16D3BC09" w14:textId="4D58B6B0" w:rsidR="00811518" w:rsidRPr="006F3EFC" w:rsidRDefault="00811518" w:rsidP="007B3E57">
            <w:pPr>
              <w:jc w:val="both"/>
              <w:rPr>
                <w:rFonts w:asciiTheme="minorHAnsi" w:hAnsiTheme="minorHAnsi" w:cs="Segoe UI"/>
                <w:sz w:val="20"/>
              </w:rPr>
            </w:pPr>
            <w:r w:rsidRPr="006F3EFC">
              <w:rPr>
                <w:rFonts w:asciiTheme="minorHAnsi" w:hAnsiTheme="minorHAnsi" w:cs="Segoe UI"/>
                <w:sz w:val="20"/>
              </w:rPr>
              <w:t xml:space="preserve">Switching or dealing fees, PTM levies, deposit fees </w:t>
            </w:r>
          </w:p>
        </w:tc>
      </w:tr>
      <w:tr w:rsidR="00811518" w:rsidRPr="006F3EFC" w14:paraId="4306C06B" w14:textId="77777777" w:rsidTr="00B21F91">
        <w:tc>
          <w:tcPr>
            <w:tcW w:w="2016" w:type="dxa"/>
            <w:vAlign w:val="center"/>
          </w:tcPr>
          <w:p w14:paraId="0AB11F8C"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Ongoing Costs</w:t>
            </w:r>
          </w:p>
        </w:tc>
        <w:tc>
          <w:tcPr>
            <w:tcW w:w="5954" w:type="dxa"/>
            <w:vAlign w:val="center"/>
          </w:tcPr>
          <w:p w14:paraId="481404BE"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Account charges or annual service fees</w:t>
            </w:r>
          </w:p>
        </w:tc>
      </w:tr>
      <w:tr w:rsidR="00811518" w:rsidRPr="006F3EFC" w14:paraId="192FD48E" w14:textId="77777777" w:rsidTr="00B21F91">
        <w:tc>
          <w:tcPr>
            <w:tcW w:w="2016" w:type="dxa"/>
            <w:vAlign w:val="center"/>
          </w:tcPr>
          <w:p w14:paraId="7510A913"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Transactions Costs</w:t>
            </w:r>
          </w:p>
        </w:tc>
        <w:tc>
          <w:tcPr>
            <w:tcW w:w="5954" w:type="dxa"/>
            <w:vAlign w:val="center"/>
          </w:tcPr>
          <w:p w14:paraId="1B3346CD"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FX charges to convert the client flow into share-class currency when working with multi-currency funds, platform fees, transactions tax, broker commissions (charged by investment firms for the execution of trades)</w:t>
            </w:r>
          </w:p>
        </w:tc>
      </w:tr>
      <w:tr w:rsidR="00811518" w:rsidRPr="006F3EFC" w14:paraId="5034C6BF" w14:textId="77777777" w:rsidTr="00B21F91">
        <w:tc>
          <w:tcPr>
            <w:tcW w:w="2016" w:type="dxa"/>
            <w:vAlign w:val="center"/>
          </w:tcPr>
          <w:p w14:paraId="5AFA1A42"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Ancillary Costs</w:t>
            </w:r>
          </w:p>
        </w:tc>
        <w:tc>
          <w:tcPr>
            <w:tcW w:w="5954" w:type="dxa"/>
            <w:vAlign w:val="center"/>
          </w:tcPr>
          <w:p w14:paraId="47CE4B8A"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Other costs relating to ancillary services not mentioned above</w:t>
            </w:r>
          </w:p>
        </w:tc>
      </w:tr>
      <w:tr w:rsidR="00811518" w:rsidRPr="006F3EFC" w14:paraId="43FDB5DB" w14:textId="77777777" w:rsidTr="00B21F91">
        <w:tc>
          <w:tcPr>
            <w:tcW w:w="2016" w:type="dxa"/>
            <w:vAlign w:val="center"/>
          </w:tcPr>
          <w:p w14:paraId="13B97085"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Incidental Costs</w:t>
            </w:r>
          </w:p>
        </w:tc>
        <w:tc>
          <w:tcPr>
            <w:tcW w:w="5954" w:type="dxa"/>
            <w:vAlign w:val="center"/>
          </w:tcPr>
          <w:p w14:paraId="4C1E5DB5" w14:textId="77777777" w:rsidR="00811518" w:rsidRPr="006F3EFC" w:rsidRDefault="00811518" w:rsidP="00B21F91">
            <w:pPr>
              <w:spacing w:before="60" w:after="60"/>
              <w:rPr>
                <w:rFonts w:asciiTheme="minorHAnsi" w:hAnsiTheme="minorHAnsi" w:cs="Segoe UI"/>
                <w:sz w:val="20"/>
              </w:rPr>
            </w:pPr>
            <w:r w:rsidRPr="006F3EFC">
              <w:rPr>
                <w:rFonts w:asciiTheme="minorHAnsi" w:hAnsiTheme="minorHAnsi" w:cs="Segoe UI"/>
                <w:sz w:val="20"/>
              </w:rPr>
              <w:t>Performance fees</w:t>
            </w:r>
          </w:p>
        </w:tc>
      </w:tr>
    </w:tbl>
    <w:p w14:paraId="773668DF" w14:textId="4A8216BA" w:rsidR="00811518" w:rsidRPr="006757FC" w:rsidRDefault="00811518" w:rsidP="006757FC">
      <w:pPr>
        <w:rPr>
          <w:rFonts w:asciiTheme="minorHAnsi" w:hAnsiTheme="minorHAnsi"/>
          <w:sz w:val="24"/>
          <w:szCs w:val="24"/>
          <w:lang w:val="en-GB"/>
        </w:rPr>
      </w:pPr>
      <w:bookmarkStart w:id="263" w:name="_Toc366502070"/>
      <w:r w:rsidRPr="006757FC">
        <w:rPr>
          <w:rFonts w:asciiTheme="minorHAnsi" w:eastAsia="SimSun" w:hAnsiTheme="minorHAnsi"/>
          <w:b/>
          <w:lang w:eastAsia="zh-CN"/>
        </w:rPr>
        <w:t>Please see Chapter</w:t>
      </w:r>
      <w:r w:rsidR="00F55A2C" w:rsidRPr="006757FC">
        <w:rPr>
          <w:rFonts w:asciiTheme="minorHAnsi" w:eastAsia="SimSun" w:hAnsiTheme="minorHAnsi"/>
          <w:b/>
          <w:lang w:eastAsia="zh-CN"/>
        </w:rPr>
        <w:t xml:space="preserve"> 7</w:t>
      </w:r>
      <w:r w:rsidRPr="006757FC">
        <w:rPr>
          <w:rFonts w:asciiTheme="minorHAnsi" w:eastAsia="SimSun" w:hAnsiTheme="minorHAnsi"/>
          <w:b/>
          <w:lang w:eastAsia="zh-CN"/>
        </w:rPr>
        <w:t xml:space="preserve"> for further detail on which types of costs roll up to which categories.</w:t>
      </w:r>
      <w:bookmarkEnd w:id="263"/>
    </w:p>
    <w:p w14:paraId="629C0469" w14:textId="77777777" w:rsidR="00811518" w:rsidRPr="00D44378" w:rsidRDefault="00811518" w:rsidP="00D44378">
      <w:pPr>
        <w:ind w:left="0"/>
      </w:pPr>
    </w:p>
    <w:p w14:paraId="14937591" w14:textId="77777777" w:rsidR="00714504" w:rsidRPr="00E3454A" w:rsidRDefault="00714504" w:rsidP="0087645C">
      <w:pPr>
        <w:pStyle w:val="Heading3"/>
        <w:ind w:left="709"/>
        <w:rPr>
          <w:rFonts w:asciiTheme="minorHAnsi" w:hAnsiTheme="minorHAnsi"/>
          <w:color w:val="auto"/>
          <w:sz w:val="24"/>
          <w:szCs w:val="24"/>
        </w:rPr>
      </w:pPr>
      <w:bookmarkStart w:id="264" w:name="_Toc366502071"/>
      <w:bookmarkStart w:id="265" w:name="_Toc369907849"/>
      <w:bookmarkStart w:id="266" w:name="_Toc370052367"/>
      <w:bookmarkStart w:id="267" w:name="_Toc372234515"/>
      <w:bookmarkStart w:id="268" w:name="_Toc395871043"/>
      <w:bookmarkStart w:id="269" w:name="_Toc409468210"/>
      <w:r w:rsidRPr="00E3454A">
        <w:rPr>
          <w:rFonts w:asciiTheme="minorHAnsi" w:hAnsiTheme="minorHAnsi"/>
          <w:color w:val="auto"/>
          <w:sz w:val="24"/>
          <w:szCs w:val="24"/>
        </w:rPr>
        <w:t>How are Service Costs Calculated?</w:t>
      </w:r>
      <w:bookmarkEnd w:id="256"/>
      <w:bookmarkEnd w:id="257"/>
      <w:bookmarkEnd w:id="258"/>
      <w:bookmarkEnd w:id="259"/>
      <w:bookmarkEnd w:id="260"/>
      <w:bookmarkEnd w:id="261"/>
      <w:bookmarkEnd w:id="262"/>
      <w:bookmarkEnd w:id="264"/>
      <w:bookmarkEnd w:id="265"/>
      <w:bookmarkEnd w:id="266"/>
      <w:bookmarkEnd w:id="267"/>
      <w:bookmarkEnd w:id="268"/>
      <w:bookmarkEnd w:id="269"/>
    </w:p>
    <w:p w14:paraId="7811E69B" w14:textId="77777777" w:rsidR="00714504" w:rsidRPr="006F3EFC" w:rsidRDefault="00714504" w:rsidP="00714504">
      <w:pPr>
        <w:jc w:val="both"/>
        <w:rPr>
          <w:rFonts w:asciiTheme="minorHAnsi" w:hAnsiTheme="minorHAnsi" w:cs="Segoe UI"/>
          <w:sz w:val="20"/>
        </w:rPr>
      </w:pPr>
    </w:p>
    <w:p w14:paraId="61C8CB95" w14:textId="77777777" w:rsidR="00714504" w:rsidRPr="00331B33" w:rsidRDefault="00714504" w:rsidP="006757FC">
      <w:pPr>
        <w:numPr>
          <w:ilvl w:val="0"/>
          <w:numId w:val="20"/>
        </w:numPr>
        <w:ind w:left="714" w:hanging="357"/>
        <w:jc w:val="both"/>
        <w:rPr>
          <w:rFonts w:asciiTheme="minorHAnsi" w:hAnsiTheme="minorHAnsi" w:cs="Segoe UI"/>
          <w:szCs w:val="22"/>
        </w:rPr>
      </w:pPr>
      <w:r w:rsidRPr="00331B33">
        <w:rPr>
          <w:rFonts w:asciiTheme="minorHAnsi" w:hAnsiTheme="minorHAnsi" w:cs="Segoe UI"/>
          <w:szCs w:val="22"/>
        </w:rPr>
        <w:t>Service costs may not affect all investors equally, and are not always predictable.</w:t>
      </w:r>
    </w:p>
    <w:p w14:paraId="6F36F5F5" w14:textId="77777777" w:rsidR="00714504" w:rsidRPr="00331B33" w:rsidRDefault="00714504" w:rsidP="006757FC">
      <w:pPr>
        <w:numPr>
          <w:ilvl w:val="0"/>
          <w:numId w:val="20"/>
        </w:numPr>
        <w:ind w:left="714" w:hanging="357"/>
        <w:jc w:val="both"/>
        <w:rPr>
          <w:rFonts w:asciiTheme="minorHAnsi" w:hAnsiTheme="minorHAnsi" w:cs="Segoe UI"/>
          <w:szCs w:val="22"/>
        </w:rPr>
      </w:pPr>
      <w:r w:rsidRPr="00331B33">
        <w:rPr>
          <w:rFonts w:asciiTheme="minorHAnsi" w:hAnsiTheme="minorHAnsi" w:cs="Segoe UI"/>
          <w:szCs w:val="22"/>
        </w:rPr>
        <w:t xml:space="preserve">A key challenge for the Ex-Ante template is how to present the service costs so as to present the client with scenarios applicable to their own investment plan. </w:t>
      </w:r>
    </w:p>
    <w:p w14:paraId="2A86A840" w14:textId="77777777" w:rsidR="00714504" w:rsidRPr="00331B33" w:rsidRDefault="00714504" w:rsidP="00331B33">
      <w:pPr>
        <w:spacing w:line="276" w:lineRule="auto"/>
        <w:jc w:val="both"/>
        <w:rPr>
          <w:rFonts w:asciiTheme="minorHAnsi" w:hAnsiTheme="minorHAnsi" w:cs="Segoe UI"/>
          <w:szCs w:val="22"/>
        </w:rPr>
      </w:pPr>
    </w:p>
    <w:p w14:paraId="60B7BA55" w14:textId="79D8BC24" w:rsidR="00714504" w:rsidRPr="006F3EFC" w:rsidRDefault="00714504" w:rsidP="006757FC">
      <w:pPr>
        <w:jc w:val="both"/>
        <w:rPr>
          <w:rFonts w:asciiTheme="minorHAnsi" w:hAnsiTheme="minorHAnsi" w:cs="Segoe UI"/>
          <w:sz w:val="20"/>
        </w:rPr>
      </w:pPr>
      <w:r w:rsidRPr="00331B33">
        <w:rPr>
          <w:rFonts w:asciiTheme="minorHAnsi" w:hAnsiTheme="minorHAnsi" w:cs="Segoe UI"/>
          <w:szCs w:val="22"/>
        </w:rPr>
        <w:t>For example: if a particular product was available both within a wrapper, and outside a wrapper, and both of these options had different costs applicable, then the template will need to illustrate both of these scenarios, using text, graphs and/or tables.</w:t>
      </w:r>
    </w:p>
    <w:p w14:paraId="03744472" w14:textId="77777777" w:rsidR="00714504" w:rsidRPr="006F3EFC" w:rsidRDefault="00714504" w:rsidP="00714504">
      <w:pPr>
        <w:jc w:val="both"/>
        <w:rPr>
          <w:rFonts w:asciiTheme="minorHAnsi" w:hAnsiTheme="minorHAnsi" w:cs="Segoe UI"/>
          <w:sz w:val="20"/>
        </w:rPr>
      </w:pPr>
    </w:p>
    <w:p w14:paraId="1E727CAB" w14:textId="51DC6004" w:rsidR="00714504" w:rsidRPr="00E3454A" w:rsidRDefault="00714504" w:rsidP="00E3454A">
      <w:pPr>
        <w:pStyle w:val="Heading2"/>
      </w:pPr>
      <w:bookmarkStart w:id="270" w:name="_Toc364001884"/>
      <w:bookmarkStart w:id="271" w:name="_Toc364343135"/>
      <w:bookmarkStart w:id="272" w:name="_Toc364343322"/>
      <w:bookmarkStart w:id="273" w:name="_Toc364343681"/>
      <w:bookmarkStart w:id="274" w:name="_Toc364635746"/>
      <w:bookmarkStart w:id="275" w:name="_Toc364636138"/>
      <w:bookmarkStart w:id="276" w:name="_Toc364636574"/>
      <w:bookmarkStart w:id="277" w:name="_Toc366502072"/>
      <w:bookmarkStart w:id="278" w:name="_Toc369907850"/>
      <w:bookmarkStart w:id="279" w:name="_Toc370052368"/>
      <w:bookmarkStart w:id="280" w:name="_Toc372234516"/>
      <w:bookmarkStart w:id="281" w:name="_Toc395871044"/>
      <w:bookmarkStart w:id="282" w:name="_Toc409468211"/>
      <w:r w:rsidRPr="00E3454A">
        <w:t>Cumulative Effect of Costs on Return</w:t>
      </w:r>
      <w:bookmarkEnd w:id="270"/>
      <w:bookmarkEnd w:id="271"/>
      <w:bookmarkEnd w:id="272"/>
      <w:bookmarkEnd w:id="273"/>
      <w:bookmarkEnd w:id="274"/>
      <w:bookmarkEnd w:id="275"/>
      <w:bookmarkEnd w:id="276"/>
      <w:bookmarkEnd w:id="277"/>
      <w:bookmarkEnd w:id="278"/>
      <w:bookmarkEnd w:id="279"/>
      <w:bookmarkEnd w:id="280"/>
      <w:bookmarkEnd w:id="281"/>
      <w:bookmarkEnd w:id="282"/>
    </w:p>
    <w:p w14:paraId="292568E4" w14:textId="77777777" w:rsidR="00714504" w:rsidRPr="006F3EFC" w:rsidRDefault="00714504" w:rsidP="00714504">
      <w:pPr>
        <w:rPr>
          <w:rFonts w:asciiTheme="minorHAnsi" w:hAnsiTheme="minorHAnsi"/>
        </w:rPr>
      </w:pPr>
    </w:p>
    <w:p w14:paraId="1B35B238" w14:textId="77777777" w:rsidR="00714504" w:rsidRPr="00094024" w:rsidRDefault="00714504" w:rsidP="007D53AC">
      <w:pPr>
        <w:pStyle w:val="Default"/>
        <w:ind w:left="576"/>
        <w:jc w:val="both"/>
        <w:rPr>
          <w:rFonts w:asciiTheme="minorHAnsi" w:hAnsiTheme="minorHAnsi" w:cs="Segoe UI"/>
          <w:i/>
          <w:color w:val="auto"/>
          <w:sz w:val="22"/>
          <w:szCs w:val="22"/>
        </w:rPr>
      </w:pPr>
      <w:r w:rsidRPr="00094024">
        <w:rPr>
          <w:rFonts w:asciiTheme="minorHAnsi" w:hAnsiTheme="minorHAnsi" w:cs="Segoe UI"/>
          <w:i/>
          <w:color w:val="auto"/>
          <w:sz w:val="22"/>
          <w:szCs w:val="22"/>
        </w:rPr>
        <w:t xml:space="preserve">“Investment firms shall provide their clients with an illustration showing the cumulative effect of costs on return when providing investment services. Such an illustration shall be provided </w:t>
      </w:r>
      <w:r w:rsidRPr="00094024">
        <w:rPr>
          <w:rFonts w:asciiTheme="minorHAnsi" w:hAnsiTheme="minorHAnsi" w:cs="Segoe UI"/>
          <w:i/>
          <w:color w:val="auto"/>
          <w:sz w:val="22"/>
          <w:szCs w:val="22"/>
        </w:rPr>
        <w:lastRenderedPageBreak/>
        <w:t xml:space="preserve">both on an Ex-Ante and Ex-Post basis. Investment firms shall ensure that the illustration meets the following requirements: </w:t>
      </w:r>
    </w:p>
    <w:p w14:paraId="7602DB71" w14:textId="77777777" w:rsidR="00714504" w:rsidRPr="00094024" w:rsidRDefault="00714504" w:rsidP="007D53AC">
      <w:pPr>
        <w:pStyle w:val="Default"/>
        <w:spacing w:after="148"/>
        <w:ind w:left="576"/>
        <w:jc w:val="both"/>
        <w:rPr>
          <w:rFonts w:asciiTheme="minorHAnsi" w:hAnsiTheme="minorHAnsi" w:cs="Segoe UI"/>
          <w:i/>
          <w:color w:val="auto"/>
          <w:sz w:val="22"/>
          <w:szCs w:val="22"/>
        </w:rPr>
      </w:pPr>
      <w:r w:rsidRPr="00094024">
        <w:rPr>
          <w:rFonts w:asciiTheme="minorHAnsi" w:hAnsiTheme="minorHAnsi" w:cs="Segoe UI"/>
          <w:i/>
          <w:color w:val="auto"/>
          <w:sz w:val="22"/>
          <w:szCs w:val="22"/>
        </w:rPr>
        <w:t xml:space="preserve">(a) The illustration shows the effect of the overall costs and charges on the return of the investment; </w:t>
      </w:r>
    </w:p>
    <w:p w14:paraId="66A97ABB" w14:textId="77777777" w:rsidR="00714504" w:rsidRPr="00094024" w:rsidRDefault="00714504" w:rsidP="007D53AC">
      <w:pPr>
        <w:pStyle w:val="Default"/>
        <w:spacing w:after="148"/>
        <w:ind w:left="576"/>
        <w:jc w:val="both"/>
        <w:rPr>
          <w:rFonts w:asciiTheme="minorHAnsi" w:hAnsiTheme="minorHAnsi" w:cs="Segoe UI"/>
          <w:i/>
          <w:color w:val="auto"/>
          <w:sz w:val="22"/>
          <w:szCs w:val="22"/>
        </w:rPr>
      </w:pPr>
      <w:r w:rsidRPr="00094024">
        <w:rPr>
          <w:rFonts w:asciiTheme="minorHAnsi" w:hAnsiTheme="minorHAnsi" w:cs="Segoe UI"/>
          <w:i/>
          <w:color w:val="auto"/>
          <w:sz w:val="22"/>
          <w:szCs w:val="22"/>
        </w:rPr>
        <w:t xml:space="preserve">(b) The illustration shows any anticipated spikes or fluctuations in the costs; and </w:t>
      </w:r>
    </w:p>
    <w:p w14:paraId="0ED63B5E" w14:textId="77777777" w:rsidR="00714504" w:rsidRPr="00094024" w:rsidRDefault="00714504" w:rsidP="007D53AC">
      <w:pPr>
        <w:pStyle w:val="Default"/>
        <w:ind w:left="576"/>
        <w:jc w:val="both"/>
        <w:rPr>
          <w:rFonts w:asciiTheme="minorHAnsi" w:hAnsiTheme="minorHAnsi" w:cs="Segoe UI"/>
          <w:i/>
          <w:color w:val="auto"/>
          <w:sz w:val="22"/>
          <w:szCs w:val="22"/>
        </w:rPr>
      </w:pPr>
      <w:r w:rsidRPr="00094024">
        <w:rPr>
          <w:rFonts w:asciiTheme="minorHAnsi" w:hAnsiTheme="minorHAnsi" w:cs="Segoe UI"/>
          <w:i/>
          <w:color w:val="auto"/>
          <w:sz w:val="22"/>
          <w:szCs w:val="22"/>
        </w:rPr>
        <w:t>(c) The illustration is accompanied by a description of the illustration. “</w:t>
      </w:r>
    </w:p>
    <w:p w14:paraId="4BB03A0C" w14:textId="77777777" w:rsidR="00714504" w:rsidRPr="00094024" w:rsidRDefault="00714504" w:rsidP="007D53AC">
      <w:pPr>
        <w:ind w:left="1296"/>
        <w:rPr>
          <w:rFonts w:asciiTheme="minorHAnsi" w:hAnsiTheme="minorHAnsi"/>
          <w:szCs w:val="22"/>
        </w:rPr>
      </w:pPr>
    </w:p>
    <w:p w14:paraId="42AFC157" w14:textId="77777777" w:rsidR="00714504" w:rsidRPr="00094024" w:rsidRDefault="00714504" w:rsidP="007D53AC">
      <w:pPr>
        <w:numPr>
          <w:ilvl w:val="0"/>
          <w:numId w:val="23"/>
        </w:numPr>
        <w:ind w:left="1296"/>
        <w:rPr>
          <w:rFonts w:asciiTheme="minorHAnsi" w:hAnsiTheme="minorHAnsi" w:cs="Segoe UI"/>
          <w:szCs w:val="22"/>
        </w:rPr>
      </w:pPr>
      <w:r w:rsidRPr="00094024">
        <w:rPr>
          <w:rFonts w:asciiTheme="minorHAnsi" w:hAnsiTheme="minorHAnsi" w:cs="Segoe UI"/>
          <w:szCs w:val="22"/>
        </w:rPr>
        <w:t xml:space="preserve">This translates to a requirement to compare what the return of the fund would be if there were no charges with the return of the fund after all charges. </w:t>
      </w:r>
    </w:p>
    <w:p w14:paraId="6B98FE6B" w14:textId="77777777" w:rsidR="00714504" w:rsidRPr="00094024" w:rsidRDefault="00714504" w:rsidP="007D53AC">
      <w:pPr>
        <w:numPr>
          <w:ilvl w:val="0"/>
          <w:numId w:val="23"/>
        </w:numPr>
        <w:ind w:left="1296"/>
        <w:rPr>
          <w:rFonts w:asciiTheme="minorHAnsi" w:hAnsiTheme="minorHAnsi" w:cs="Segoe UI"/>
          <w:szCs w:val="22"/>
        </w:rPr>
      </w:pPr>
      <w:r w:rsidRPr="00094024">
        <w:rPr>
          <w:rFonts w:asciiTheme="minorHAnsi" w:hAnsiTheme="minorHAnsi" w:cs="Segoe UI"/>
          <w:szCs w:val="22"/>
        </w:rPr>
        <w:t xml:space="preserve">There is no guidance on what growth rate (if any) to use in the illustration.  One possible solution is to align to the PRIIPs approach. </w:t>
      </w:r>
    </w:p>
    <w:p w14:paraId="67654A93" w14:textId="77777777" w:rsidR="00714504" w:rsidRPr="00094024" w:rsidRDefault="00714504" w:rsidP="007D53AC">
      <w:pPr>
        <w:numPr>
          <w:ilvl w:val="0"/>
          <w:numId w:val="23"/>
        </w:numPr>
        <w:ind w:left="1296"/>
        <w:rPr>
          <w:rFonts w:asciiTheme="minorHAnsi" w:hAnsiTheme="minorHAnsi" w:cs="Segoe UI"/>
          <w:szCs w:val="22"/>
        </w:rPr>
      </w:pPr>
      <w:r w:rsidRPr="00094024">
        <w:rPr>
          <w:rFonts w:asciiTheme="minorHAnsi" w:hAnsiTheme="minorHAnsi" w:cs="Segoe UI"/>
          <w:szCs w:val="22"/>
        </w:rPr>
        <w:t xml:space="preserve">The difference in the return received net verses gross can be expressed in percentage terms, monetary terms or both. </w:t>
      </w:r>
    </w:p>
    <w:p w14:paraId="33EAE569" w14:textId="77777777" w:rsidR="00714504" w:rsidRPr="00094024" w:rsidRDefault="00714504" w:rsidP="007D53AC">
      <w:pPr>
        <w:ind w:left="1296"/>
        <w:rPr>
          <w:rFonts w:asciiTheme="minorHAnsi" w:hAnsiTheme="minorHAnsi" w:cs="Segoe UI"/>
          <w:szCs w:val="22"/>
        </w:rPr>
      </w:pPr>
    </w:p>
    <w:p w14:paraId="556FB839" w14:textId="57A17483" w:rsidR="00714504" w:rsidRPr="00094024" w:rsidRDefault="00714504" w:rsidP="006757FC">
      <w:pPr>
        <w:ind w:left="1298"/>
        <w:jc w:val="both"/>
        <w:rPr>
          <w:rFonts w:asciiTheme="minorHAnsi" w:hAnsiTheme="minorHAnsi" w:cs="Segoe UI"/>
          <w:szCs w:val="22"/>
        </w:rPr>
      </w:pPr>
      <w:r w:rsidRPr="00094024">
        <w:rPr>
          <w:rFonts w:asciiTheme="minorHAnsi" w:hAnsiTheme="minorHAnsi" w:cs="Segoe UI"/>
          <w:szCs w:val="22"/>
        </w:rPr>
        <w:t xml:space="preserve">There are varying degrees of complexity that could be involved in this calculation. For the </w:t>
      </w:r>
      <w:r w:rsidR="0026336C">
        <w:rPr>
          <w:rFonts w:asciiTheme="minorHAnsi" w:hAnsiTheme="minorHAnsi" w:cs="Segoe UI"/>
          <w:szCs w:val="22"/>
        </w:rPr>
        <w:t>E</w:t>
      </w:r>
      <w:r w:rsidRPr="00094024">
        <w:rPr>
          <w:rFonts w:asciiTheme="minorHAnsi" w:hAnsiTheme="minorHAnsi" w:cs="Segoe UI"/>
          <w:szCs w:val="22"/>
        </w:rPr>
        <w:t>x-</w:t>
      </w:r>
      <w:r w:rsidR="0026336C">
        <w:rPr>
          <w:rFonts w:asciiTheme="minorHAnsi" w:hAnsiTheme="minorHAnsi" w:cs="Segoe UI"/>
          <w:szCs w:val="22"/>
        </w:rPr>
        <w:t>A</w:t>
      </w:r>
      <w:r w:rsidRPr="00094024">
        <w:rPr>
          <w:rFonts w:asciiTheme="minorHAnsi" w:hAnsiTheme="minorHAnsi" w:cs="Segoe UI"/>
          <w:szCs w:val="22"/>
        </w:rPr>
        <w:t xml:space="preserve">nte funds illustration, an underlying assumption is that the fees are taken from the fund evenly throughout the year. By adding back in the fees and the </w:t>
      </w:r>
      <w:r w:rsidR="00107703" w:rsidRPr="00094024">
        <w:rPr>
          <w:rFonts w:asciiTheme="minorHAnsi" w:hAnsiTheme="minorHAnsi" w:cs="Segoe UI"/>
          <w:szCs w:val="22"/>
        </w:rPr>
        <w:t>performance that</w:t>
      </w:r>
      <w:r w:rsidRPr="00094024">
        <w:rPr>
          <w:rFonts w:asciiTheme="minorHAnsi" w:hAnsiTheme="minorHAnsi" w:cs="Segoe UI"/>
          <w:szCs w:val="22"/>
        </w:rPr>
        <w:t xml:space="preserve"> would have been accrued on those fees, a gross return figure can be calculated. </w:t>
      </w:r>
    </w:p>
    <w:p w14:paraId="39FB3CB2" w14:textId="77777777" w:rsidR="00714504" w:rsidRPr="00094024" w:rsidRDefault="00714504" w:rsidP="007D53AC">
      <w:pPr>
        <w:ind w:left="1296"/>
        <w:jc w:val="both"/>
        <w:rPr>
          <w:rFonts w:asciiTheme="minorHAnsi" w:hAnsiTheme="minorHAnsi" w:cs="Segoe UI"/>
          <w:szCs w:val="22"/>
        </w:rPr>
      </w:pPr>
    </w:p>
    <w:p w14:paraId="76545845" w14:textId="6A09A3C9" w:rsidR="00714504" w:rsidRPr="00094024" w:rsidRDefault="00714504" w:rsidP="007D53AC">
      <w:pPr>
        <w:ind w:left="1296"/>
        <w:jc w:val="both"/>
        <w:rPr>
          <w:rFonts w:asciiTheme="minorHAnsi" w:hAnsiTheme="minorHAnsi" w:cs="Segoe UI"/>
          <w:szCs w:val="22"/>
        </w:rPr>
      </w:pPr>
      <w:r w:rsidRPr="00094024">
        <w:rPr>
          <w:rFonts w:asciiTheme="minorHAnsi" w:hAnsiTheme="minorHAnsi" w:cs="Segoe UI"/>
          <w:szCs w:val="22"/>
        </w:rPr>
        <w:t>One method of calculating the gross return (for a given net growth rate and annualised costs)</w:t>
      </w:r>
      <w:r w:rsidR="00407DFF">
        <w:rPr>
          <w:rFonts w:asciiTheme="minorHAnsi" w:hAnsiTheme="minorHAnsi" w:cs="Segoe UI"/>
          <w:szCs w:val="22"/>
        </w:rPr>
        <w:t xml:space="preserve"> is as follows</w:t>
      </w:r>
      <w:r w:rsidRPr="00094024">
        <w:rPr>
          <w:rFonts w:asciiTheme="minorHAnsi" w:hAnsiTheme="minorHAnsi" w:cs="Segoe UI"/>
          <w:szCs w:val="22"/>
        </w:rPr>
        <w:t>:</w:t>
      </w:r>
    </w:p>
    <w:p w14:paraId="1CCB4694" w14:textId="77777777" w:rsidR="00714504" w:rsidRPr="00094024" w:rsidRDefault="00714504" w:rsidP="007D53AC">
      <w:pPr>
        <w:ind w:left="1296"/>
        <w:jc w:val="both"/>
        <w:rPr>
          <w:rFonts w:asciiTheme="minorHAnsi" w:hAnsiTheme="minorHAnsi" w:cs="Segoe UI"/>
          <w:szCs w:val="22"/>
        </w:rPr>
      </w:pPr>
      <w:r w:rsidRPr="00094024">
        <w:rPr>
          <w:rFonts w:asciiTheme="minorHAnsi" w:hAnsiTheme="minorHAnsi" w:cs="Segoe UI"/>
          <w:szCs w:val="22"/>
        </w:rPr>
        <w:t xml:space="preserve">  </w:t>
      </w:r>
    </w:p>
    <w:p w14:paraId="3D5F6AD1" w14:textId="77777777" w:rsidR="00714504" w:rsidRPr="00094024" w:rsidRDefault="00714504" w:rsidP="007D53AC">
      <w:pPr>
        <w:numPr>
          <w:ilvl w:val="0"/>
          <w:numId w:val="36"/>
        </w:numPr>
        <w:ind w:left="1296"/>
        <w:jc w:val="both"/>
        <w:rPr>
          <w:rFonts w:asciiTheme="minorHAnsi" w:hAnsiTheme="minorHAnsi" w:cs="Segoe UI"/>
          <w:szCs w:val="22"/>
        </w:rPr>
      </w:pPr>
      <w:r w:rsidRPr="00094024">
        <w:rPr>
          <w:rFonts w:asciiTheme="minorHAnsi" w:hAnsiTheme="minorHAnsi" w:cs="Segoe UI"/>
          <w:szCs w:val="22"/>
        </w:rPr>
        <w:t>Day 1:</w:t>
      </w:r>
    </w:p>
    <w:p w14:paraId="10919F9B" w14:textId="77777777" w:rsidR="00714504" w:rsidRPr="00094024" w:rsidRDefault="00714504" w:rsidP="007D53AC">
      <w:pPr>
        <w:numPr>
          <w:ilvl w:val="1"/>
          <w:numId w:val="37"/>
        </w:numPr>
        <w:ind w:left="2016"/>
        <w:jc w:val="both"/>
        <w:rPr>
          <w:rFonts w:asciiTheme="minorHAnsi" w:hAnsiTheme="minorHAnsi" w:cs="Segoe UI"/>
          <w:szCs w:val="22"/>
        </w:rPr>
      </w:pPr>
      <w:r w:rsidRPr="00094024">
        <w:rPr>
          <w:rFonts w:asciiTheme="minorHAnsi" w:hAnsiTheme="minorHAnsi" w:cs="Segoe UI"/>
          <w:szCs w:val="22"/>
        </w:rPr>
        <w:t>Take the net investment amount</w:t>
      </w:r>
    </w:p>
    <w:p w14:paraId="3DA4C251" w14:textId="77777777" w:rsidR="00714504" w:rsidRPr="00094024" w:rsidRDefault="00714504" w:rsidP="007D53AC">
      <w:pPr>
        <w:numPr>
          <w:ilvl w:val="1"/>
          <w:numId w:val="37"/>
        </w:numPr>
        <w:ind w:left="2016"/>
        <w:jc w:val="both"/>
        <w:rPr>
          <w:rFonts w:asciiTheme="minorHAnsi" w:hAnsiTheme="minorHAnsi" w:cs="Segoe UI"/>
          <w:szCs w:val="22"/>
        </w:rPr>
      </w:pPr>
      <w:r w:rsidRPr="00094024">
        <w:rPr>
          <w:rFonts w:asciiTheme="minorHAnsi" w:hAnsiTheme="minorHAnsi" w:cs="Segoe UI"/>
          <w:szCs w:val="22"/>
        </w:rPr>
        <w:t>Apply the net growth rate to the investment amount on a daily basis</w:t>
      </w:r>
    </w:p>
    <w:p w14:paraId="74BF826D" w14:textId="5BF18876" w:rsidR="00714504" w:rsidRPr="00094024" w:rsidRDefault="00714504" w:rsidP="007D53AC">
      <w:pPr>
        <w:numPr>
          <w:ilvl w:val="1"/>
          <w:numId w:val="37"/>
        </w:numPr>
        <w:ind w:left="2016"/>
        <w:jc w:val="both"/>
        <w:rPr>
          <w:rFonts w:asciiTheme="minorHAnsi" w:hAnsiTheme="minorHAnsi" w:cs="Segoe UI"/>
          <w:szCs w:val="22"/>
        </w:rPr>
      </w:pPr>
      <w:r w:rsidRPr="00094024">
        <w:rPr>
          <w:rFonts w:asciiTheme="minorHAnsi" w:hAnsiTheme="minorHAnsi" w:cs="Segoe UI"/>
          <w:szCs w:val="22"/>
        </w:rPr>
        <w:t xml:space="preserve">Add back each day’s fees back to the investment amount </w:t>
      </w:r>
    </w:p>
    <w:p w14:paraId="71FB8A1A" w14:textId="77777777" w:rsidR="00714504" w:rsidRDefault="00714504" w:rsidP="007D53AC">
      <w:pPr>
        <w:pStyle w:val="ListParagraph"/>
        <w:numPr>
          <w:ilvl w:val="1"/>
          <w:numId w:val="37"/>
        </w:numPr>
        <w:ind w:left="2016"/>
        <w:contextualSpacing w:val="0"/>
        <w:jc w:val="both"/>
        <w:rPr>
          <w:rFonts w:asciiTheme="minorHAnsi" w:hAnsiTheme="minorHAnsi" w:cs="Segoe UI"/>
          <w:szCs w:val="22"/>
        </w:rPr>
      </w:pPr>
      <w:r w:rsidRPr="00094024">
        <w:rPr>
          <w:rFonts w:asciiTheme="minorHAnsi" w:hAnsiTheme="minorHAnsi" w:cs="Segoe UI"/>
          <w:szCs w:val="22"/>
        </w:rPr>
        <w:t>Result = gross value at end of day 1</w:t>
      </w:r>
    </w:p>
    <w:p w14:paraId="720354BF" w14:textId="77777777" w:rsidR="0026336C" w:rsidRPr="00094024" w:rsidRDefault="0026336C" w:rsidP="007D53AC">
      <w:pPr>
        <w:pStyle w:val="ListParagraph"/>
        <w:ind w:left="2016"/>
        <w:contextualSpacing w:val="0"/>
        <w:jc w:val="both"/>
        <w:rPr>
          <w:rFonts w:asciiTheme="minorHAnsi" w:hAnsiTheme="minorHAnsi" w:cs="Segoe UI"/>
          <w:szCs w:val="22"/>
        </w:rPr>
      </w:pPr>
    </w:p>
    <w:p w14:paraId="59EE070C" w14:textId="77777777" w:rsidR="00714504" w:rsidRPr="00094024" w:rsidRDefault="00714504" w:rsidP="007D53AC">
      <w:pPr>
        <w:numPr>
          <w:ilvl w:val="0"/>
          <w:numId w:val="36"/>
        </w:numPr>
        <w:ind w:left="1296"/>
        <w:jc w:val="both"/>
        <w:rPr>
          <w:rFonts w:asciiTheme="minorHAnsi" w:hAnsiTheme="minorHAnsi" w:cs="Segoe UI"/>
          <w:szCs w:val="22"/>
        </w:rPr>
      </w:pPr>
      <w:r w:rsidRPr="00094024">
        <w:rPr>
          <w:rFonts w:asciiTheme="minorHAnsi" w:hAnsiTheme="minorHAnsi" w:cs="Segoe UI"/>
          <w:szCs w:val="22"/>
        </w:rPr>
        <w:t>Day 2 (and repeat)</w:t>
      </w:r>
    </w:p>
    <w:p w14:paraId="1B913E17" w14:textId="77777777" w:rsidR="00714504" w:rsidRPr="00094024" w:rsidRDefault="00714504" w:rsidP="007D53AC">
      <w:pPr>
        <w:numPr>
          <w:ilvl w:val="1"/>
          <w:numId w:val="36"/>
        </w:numPr>
        <w:ind w:left="2016"/>
        <w:jc w:val="both"/>
        <w:rPr>
          <w:rFonts w:asciiTheme="minorHAnsi" w:hAnsiTheme="minorHAnsi" w:cs="Segoe UI"/>
          <w:szCs w:val="22"/>
        </w:rPr>
      </w:pPr>
      <w:r w:rsidRPr="00094024">
        <w:rPr>
          <w:rFonts w:asciiTheme="minorHAnsi" w:hAnsiTheme="minorHAnsi" w:cs="Segoe UI"/>
          <w:szCs w:val="22"/>
        </w:rPr>
        <w:t xml:space="preserve">Take the gross value (4) from above </w:t>
      </w:r>
    </w:p>
    <w:p w14:paraId="2E07ACF5" w14:textId="77777777" w:rsidR="00714504" w:rsidRPr="00094024" w:rsidRDefault="00714504" w:rsidP="007D53AC">
      <w:pPr>
        <w:numPr>
          <w:ilvl w:val="1"/>
          <w:numId w:val="36"/>
        </w:numPr>
        <w:ind w:left="2016"/>
        <w:jc w:val="both"/>
        <w:rPr>
          <w:rFonts w:asciiTheme="minorHAnsi" w:hAnsiTheme="minorHAnsi" w:cs="Segoe UI"/>
          <w:szCs w:val="22"/>
        </w:rPr>
      </w:pPr>
      <w:r w:rsidRPr="00094024">
        <w:rPr>
          <w:rFonts w:asciiTheme="minorHAnsi" w:hAnsiTheme="minorHAnsi" w:cs="Segoe UI"/>
          <w:szCs w:val="22"/>
        </w:rPr>
        <w:t>Repeat steps 2-4</w:t>
      </w:r>
    </w:p>
    <w:p w14:paraId="7782FA1C" w14:textId="77777777" w:rsidR="00714504" w:rsidRPr="00094024" w:rsidRDefault="00714504" w:rsidP="007D53AC">
      <w:pPr>
        <w:ind w:left="1296"/>
        <w:jc w:val="both"/>
        <w:rPr>
          <w:rFonts w:asciiTheme="minorHAnsi" w:hAnsiTheme="minorHAnsi" w:cs="Segoe UI"/>
          <w:szCs w:val="22"/>
        </w:rPr>
      </w:pPr>
    </w:p>
    <w:p w14:paraId="76C1EC78" w14:textId="73FED400" w:rsidR="00714504" w:rsidRPr="00094024" w:rsidRDefault="00714504" w:rsidP="007D53AC">
      <w:pPr>
        <w:ind w:left="1296"/>
        <w:jc w:val="both"/>
        <w:rPr>
          <w:rFonts w:asciiTheme="minorHAnsi" w:hAnsiTheme="minorHAnsi" w:cs="Segoe UI"/>
          <w:szCs w:val="22"/>
        </w:rPr>
      </w:pPr>
      <w:r w:rsidRPr="00094024">
        <w:rPr>
          <w:rFonts w:asciiTheme="minorHAnsi" w:hAnsiTheme="minorHAnsi" w:cs="Segoe UI"/>
          <w:szCs w:val="22"/>
        </w:rPr>
        <w:t>The net return = Net investment amount x net growth rate.</w:t>
      </w:r>
    </w:p>
    <w:p w14:paraId="14C896CD" w14:textId="77777777" w:rsidR="0076175A" w:rsidRDefault="0076175A" w:rsidP="007D53AC">
      <w:pPr>
        <w:ind w:left="1296"/>
        <w:jc w:val="both"/>
        <w:rPr>
          <w:rFonts w:asciiTheme="minorHAnsi" w:hAnsiTheme="minorHAnsi" w:cs="Segoe UI"/>
          <w:sz w:val="20"/>
        </w:rPr>
      </w:pPr>
    </w:p>
    <w:p w14:paraId="25BBBA05" w14:textId="2DDC28A9" w:rsidR="00FD4247" w:rsidRPr="006757FC" w:rsidRDefault="00FD4247" w:rsidP="00D44378">
      <w:pPr>
        <w:ind w:left="576"/>
        <w:jc w:val="both"/>
        <w:rPr>
          <w:rFonts w:asciiTheme="minorHAnsi" w:hAnsiTheme="minorHAnsi" w:cs="Segoe UI"/>
          <w:b/>
          <w:szCs w:val="22"/>
        </w:rPr>
      </w:pPr>
      <w:r w:rsidRPr="006757FC">
        <w:rPr>
          <w:rFonts w:asciiTheme="minorHAnsi" w:hAnsiTheme="minorHAnsi" w:cs="Segoe UI"/>
          <w:b/>
          <w:szCs w:val="22"/>
        </w:rPr>
        <w:t>Further details are set out in Chapter 10.</w:t>
      </w:r>
    </w:p>
    <w:p w14:paraId="61D1E151" w14:textId="77777777" w:rsidR="008C5AEE" w:rsidRPr="00D44378" w:rsidRDefault="008C5AEE" w:rsidP="00D44378">
      <w:pPr>
        <w:ind w:left="576"/>
        <w:jc w:val="both"/>
        <w:rPr>
          <w:rFonts w:asciiTheme="minorHAnsi" w:hAnsiTheme="minorHAnsi" w:cs="Segoe UI"/>
          <w:szCs w:val="22"/>
        </w:rPr>
      </w:pPr>
    </w:p>
    <w:p w14:paraId="0899B1CE" w14:textId="77777777" w:rsidR="00714504" w:rsidRPr="00E3454A" w:rsidRDefault="00714504" w:rsidP="00E3454A">
      <w:pPr>
        <w:pStyle w:val="Heading2"/>
      </w:pPr>
      <w:bookmarkStart w:id="283" w:name="_Toc364001885"/>
      <w:bookmarkStart w:id="284" w:name="_Toc364343136"/>
      <w:bookmarkStart w:id="285" w:name="_Toc364343323"/>
      <w:bookmarkStart w:id="286" w:name="_Toc364343682"/>
      <w:bookmarkStart w:id="287" w:name="_Toc364635747"/>
      <w:bookmarkStart w:id="288" w:name="_Toc364636139"/>
      <w:bookmarkStart w:id="289" w:name="_Toc364636575"/>
      <w:bookmarkStart w:id="290" w:name="_Toc366502073"/>
      <w:bookmarkStart w:id="291" w:name="_Toc369907851"/>
      <w:bookmarkStart w:id="292" w:name="_Toc370052369"/>
      <w:bookmarkStart w:id="293" w:name="_Toc372234517"/>
      <w:bookmarkStart w:id="294" w:name="_Toc395871045"/>
      <w:bookmarkStart w:id="295" w:name="_Toc409468212"/>
      <w:r w:rsidRPr="00E3454A">
        <w:t>FX Conversion Rates</w:t>
      </w:r>
      <w:bookmarkEnd w:id="283"/>
      <w:bookmarkEnd w:id="284"/>
      <w:bookmarkEnd w:id="285"/>
      <w:bookmarkEnd w:id="286"/>
      <w:bookmarkEnd w:id="287"/>
      <w:bookmarkEnd w:id="288"/>
      <w:bookmarkEnd w:id="289"/>
      <w:bookmarkEnd w:id="290"/>
      <w:bookmarkEnd w:id="291"/>
      <w:bookmarkEnd w:id="292"/>
      <w:bookmarkEnd w:id="293"/>
      <w:bookmarkEnd w:id="294"/>
      <w:bookmarkEnd w:id="295"/>
    </w:p>
    <w:p w14:paraId="0B46E935" w14:textId="77777777" w:rsidR="00714504" w:rsidRPr="006F3EFC" w:rsidRDefault="00714504" w:rsidP="00714504">
      <w:pPr>
        <w:rPr>
          <w:rFonts w:asciiTheme="minorHAnsi" w:hAnsiTheme="minorHAnsi" w:cs="Segoe UI"/>
          <w:sz w:val="20"/>
        </w:rPr>
      </w:pPr>
    </w:p>
    <w:p w14:paraId="3A6D40AA" w14:textId="77777777" w:rsidR="00714504" w:rsidRPr="00094024" w:rsidRDefault="00714504" w:rsidP="00407DFF">
      <w:pPr>
        <w:rPr>
          <w:rFonts w:asciiTheme="minorHAnsi" w:hAnsiTheme="minorHAnsi" w:cs="Segoe UI"/>
          <w:szCs w:val="22"/>
        </w:rPr>
      </w:pPr>
      <w:r w:rsidRPr="00094024">
        <w:rPr>
          <w:rFonts w:asciiTheme="minorHAnsi" w:hAnsiTheme="minorHAnsi" w:cs="Segoe UI"/>
          <w:szCs w:val="22"/>
        </w:rPr>
        <w:t>The following text appears in Article 50 Paragraph 3 of the MiFID II Delegated Regulation</w:t>
      </w:r>
    </w:p>
    <w:p w14:paraId="0C568C42" w14:textId="77777777" w:rsidR="00714504" w:rsidRPr="00094024" w:rsidRDefault="00714504" w:rsidP="007236A2">
      <w:pPr>
        <w:rPr>
          <w:rFonts w:asciiTheme="minorHAnsi" w:hAnsiTheme="minorHAnsi" w:cs="Segoe UI"/>
          <w:szCs w:val="22"/>
        </w:rPr>
      </w:pPr>
    </w:p>
    <w:p w14:paraId="6F4F72ED" w14:textId="3D241F1F" w:rsidR="00714504" w:rsidRPr="005106EB" w:rsidRDefault="00714504" w:rsidP="006757FC">
      <w:pPr>
        <w:pStyle w:val="Default"/>
        <w:ind w:left="720"/>
        <w:jc w:val="both"/>
        <w:rPr>
          <w:rFonts w:asciiTheme="minorHAnsi" w:hAnsiTheme="minorHAnsi" w:cs="Segoe UI"/>
          <w:sz w:val="22"/>
          <w:szCs w:val="22"/>
        </w:rPr>
      </w:pPr>
      <w:r w:rsidRPr="005106EB">
        <w:rPr>
          <w:rFonts w:asciiTheme="minorHAnsi" w:hAnsiTheme="minorHAnsi" w:cs="Segoe UI"/>
          <w:i/>
          <w:sz w:val="22"/>
          <w:szCs w:val="22"/>
        </w:rPr>
        <w:t>3. Where any part of the total costs and charges is to be paid in or represents an amount of foreign currency, investment firms shall provide an indication of the currency involved and the applicable currency conversion rates and costs. Investments firms shall also inform about the arrangements for payment or other performance</w:t>
      </w:r>
      <w:r w:rsidRPr="005106EB">
        <w:rPr>
          <w:rFonts w:asciiTheme="minorHAnsi" w:hAnsiTheme="minorHAnsi" w:cs="Segoe UI"/>
          <w:sz w:val="22"/>
          <w:szCs w:val="22"/>
        </w:rPr>
        <w:t xml:space="preserve">. </w:t>
      </w:r>
    </w:p>
    <w:p w14:paraId="55F8DBB7" w14:textId="77777777" w:rsidR="00714504" w:rsidRPr="005106EB" w:rsidRDefault="00714504" w:rsidP="006757FC">
      <w:pPr>
        <w:pStyle w:val="Default"/>
        <w:ind w:left="720"/>
        <w:jc w:val="both"/>
        <w:rPr>
          <w:rFonts w:asciiTheme="minorHAnsi" w:hAnsiTheme="minorHAnsi" w:cs="Segoe UI"/>
          <w:sz w:val="22"/>
          <w:szCs w:val="22"/>
        </w:rPr>
      </w:pPr>
    </w:p>
    <w:p w14:paraId="2CB724DD" w14:textId="3DCC5F84" w:rsidR="00714504" w:rsidRDefault="00714504" w:rsidP="006757FC">
      <w:pPr>
        <w:pStyle w:val="Default"/>
        <w:ind w:left="720"/>
        <w:jc w:val="both"/>
        <w:rPr>
          <w:rFonts w:asciiTheme="minorHAnsi" w:hAnsiTheme="minorHAnsi" w:cs="Segoe UI"/>
          <w:sz w:val="22"/>
          <w:szCs w:val="22"/>
        </w:rPr>
      </w:pPr>
      <w:r w:rsidRPr="005106EB">
        <w:rPr>
          <w:rFonts w:asciiTheme="minorHAnsi" w:hAnsiTheme="minorHAnsi" w:cs="Segoe UI"/>
          <w:sz w:val="22"/>
          <w:szCs w:val="22"/>
        </w:rPr>
        <w:t xml:space="preserve">TISA’s view is that this translates to a requirement to detail the impact of any FX rates utilised at the point of translating the Ex-Ante document from one currency to another. For </w:t>
      </w:r>
      <w:r w:rsidRPr="005106EB">
        <w:rPr>
          <w:rFonts w:asciiTheme="minorHAnsi" w:hAnsiTheme="minorHAnsi" w:cs="Segoe UI"/>
          <w:sz w:val="22"/>
          <w:szCs w:val="22"/>
        </w:rPr>
        <w:lastRenderedPageBreak/>
        <w:t xml:space="preserve">example, if product costs were calculated in annualised % terms, then the impact of using different currencies to illustrate the template will not invoke this requirement. However, if certain Service Costs are expressed in fixed currency terms (for example if a Sterling Fund incurred a £50 dealing charge), then if the Ex-Ante template was issued in a currency other than £, the impact of this FX conversion should be detailed using the FX rates at the point of document production. </w:t>
      </w:r>
    </w:p>
    <w:p w14:paraId="2D62B93C" w14:textId="77777777" w:rsidR="0081774E" w:rsidRDefault="0081774E" w:rsidP="007D53AC">
      <w:pPr>
        <w:pStyle w:val="Default"/>
        <w:spacing w:line="276" w:lineRule="auto"/>
        <w:ind w:left="720"/>
        <w:jc w:val="both"/>
        <w:rPr>
          <w:rFonts w:asciiTheme="minorHAnsi" w:hAnsiTheme="minorHAnsi" w:cs="Segoe UI"/>
          <w:sz w:val="22"/>
          <w:szCs w:val="22"/>
        </w:rPr>
      </w:pPr>
    </w:p>
    <w:p w14:paraId="6FF050DC" w14:textId="77777777" w:rsidR="009166B1" w:rsidRPr="009166B1" w:rsidRDefault="009166B1" w:rsidP="006757FC">
      <w:pPr>
        <w:pStyle w:val="Heading2"/>
      </w:pPr>
      <w:bookmarkStart w:id="296" w:name="_Toc369907852"/>
      <w:bookmarkStart w:id="297" w:name="_Toc370052370"/>
      <w:bookmarkStart w:id="298" w:name="_Toc372234518"/>
      <w:bookmarkStart w:id="299" w:name="_Toc395871046"/>
      <w:bookmarkStart w:id="300" w:name="_Toc409468213"/>
      <w:r w:rsidRPr="009166B1">
        <w:t>Content and Layout</w:t>
      </w:r>
      <w:bookmarkEnd w:id="296"/>
      <w:bookmarkEnd w:id="297"/>
      <w:bookmarkEnd w:id="298"/>
      <w:bookmarkEnd w:id="299"/>
      <w:bookmarkEnd w:id="300"/>
    </w:p>
    <w:p w14:paraId="715AEFB2" w14:textId="77777777" w:rsidR="009166B1" w:rsidRPr="009166B1" w:rsidRDefault="009166B1" w:rsidP="009166B1">
      <w:pPr>
        <w:rPr>
          <w:rFonts w:asciiTheme="minorHAnsi" w:hAnsiTheme="minorHAnsi"/>
          <w:szCs w:val="22"/>
        </w:rPr>
      </w:pPr>
    </w:p>
    <w:p w14:paraId="48AA6F88" w14:textId="5AB8489F"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 xml:space="preserve">The regulator has </w:t>
      </w:r>
      <w:r w:rsidR="00E671F3">
        <w:rPr>
          <w:rFonts w:asciiTheme="minorHAnsi" w:hAnsiTheme="minorHAnsi" w:cs="Segoe UI"/>
          <w:szCs w:val="22"/>
        </w:rPr>
        <w:t>deliberately</w:t>
      </w:r>
      <w:r w:rsidR="00E671F3">
        <w:rPr>
          <w:rStyle w:val="FootnoteReference"/>
          <w:rFonts w:asciiTheme="minorHAnsi" w:hAnsiTheme="minorHAnsi" w:cs="Segoe UI"/>
          <w:szCs w:val="22"/>
        </w:rPr>
        <w:footnoteReference w:id="23"/>
      </w:r>
      <w:r w:rsidR="00E671F3">
        <w:rPr>
          <w:rFonts w:asciiTheme="minorHAnsi" w:hAnsiTheme="minorHAnsi" w:cs="Segoe UI"/>
          <w:szCs w:val="22"/>
        </w:rPr>
        <w:t xml:space="preserve"> </w:t>
      </w:r>
      <w:r w:rsidRPr="009166B1">
        <w:rPr>
          <w:rFonts w:asciiTheme="minorHAnsi" w:hAnsiTheme="minorHAnsi" w:cs="Segoe UI"/>
          <w:szCs w:val="22"/>
        </w:rPr>
        <w:t xml:space="preserve">not defined a prescribed format or layout for </w:t>
      </w:r>
      <w:r w:rsidR="00E671F3">
        <w:rPr>
          <w:rFonts w:asciiTheme="minorHAnsi" w:hAnsiTheme="minorHAnsi" w:cs="Segoe UI"/>
          <w:szCs w:val="22"/>
        </w:rPr>
        <w:t>Ex-Ante disclosure</w:t>
      </w:r>
      <w:r w:rsidRPr="009166B1">
        <w:rPr>
          <w:rFonts w:asciiTheme="minorHAnsi" w:hAnsiTheme="minorHAnsi" w:cs="Segoe UI"/>
          <w:szCs w:val="22"/>
        </w:rPr>
        <w:t xml:space="preserve">.  </w:t>
      </w:r>
      <w:r w:rsidR="00E671F3">
        <w:rPr>
          <w:rFonts w:asciiTheme="minorHAnsi" w:hAnsiTheme="minorHAnsi" w:cs="Segoe UI"/>
          <w:szCs w:val="22"/>
        </w:rPr>
        <w:t>Accordingly</w:t>
      </w:r>
      <w:r w:rsidRPr="009166B1">
        <w:rPr>
          <w:rFonts w:asciiTheme="minorHAnsi" w:hAnsiTheme="minorHAnsi" w:cs="Segoe UI"/>
          <w:szCs w:val="22"/>
        </w:rPr>
        <w:t>, investment firms are free to design their own template formats.</w:t>
      </w:r>
    </w:p>
    <w:p w14:paraId="4D859596" w14:textId="77777777" w:rsidR="009166B1" w:rsidRPr="009166B1" w:rsidRDefault="009166B1" w:rsidP="009166B1">
      <w:pPr>
        <w:jc w:val="both"/>
        <w:rPr>
          <w:rFonts w:asciiTheme="minorHAnsi" w:hAnsiTheme="minorHAnsi" w:cs="Segoe UI"/>
          <w:szCs w:val="22"/>
        </w:rPr>
      </w:pPr>
    </w:p>
    <w:p w14:paraId="00D34667" w14:textId="3F23C9B5" w:rsidR="00E671F3" w:rsidRPr="009166B1" w:rsidRDefault="009166B1" w:rsidP="009166B1">
      <w:pPr>
        <w:jc w:val="both"/>
        <w:rPr>
          <w:rFonts w:asciiTheme="minorHAnsi" w:hAnsiTheme="minorHAnsi" w:cs="Segoe UI"/>
          <w:szCs w:val="22"/>
        </w:rPr>
      </w:pPr>
      <w:r w:rsidRPr="009166B1">
        <w:rPr>
          <w:rFonts w:asciiTheme="minorHAnsi" w:hAnsiTheme="minorHAnsi" w:cs="Segoe UI"/>
          <w:szCs w:val="22"/>
        </w:rPr>
        <w:t>TISA has developed examples of Ex-Ante templates that firms can use as a basis for their own templates for the following:</w:t>
      </w:r>
    </w:p>
    <w:p w14:paraId="60AB489F" w14:textId="77777777" w:rsidR="009166B1" w:rsidRPr="009166B1" w:rsidRDefault="009166B1" w:rsidP="00E671F3">
      <w:pPr>
        <w:jc w:val="both"/>
        <w:rPr>
          <w:rFonts w:asciiTheme="minorHAnsi" w:hAnsiTheme="minorHAnsi" w:cs="Segoe UI"/>
          <w:szCs w:val="22"/>
        </w:rPr>
      </w:pPr>
    </w:p>
    <w:p w14:paraId="260DEEB4" w14:textId="77777777" w:rsidR="009166B1" w:rsidRPr="009166B1" w:rsidRDefault="009166B1" w:rsidP="009166B1">
      <w:pPr>
        <w:numPr>
          <w:ilvl w:val="0"/>
          <w:numId w:val="16"/>
        </w:numPr>
        <w:jc w:val="both"/>
        <w:rPr>
          <w:rFonts w:asciiTheme="minorHAnsi" w:hAnsiTheme="minorHAnsi" w:cs="Segoe UI"/>
          <w:szCs w:val="22"/>
        </w:rPr>
      </w:pPr>
      <w:r w:rsidRPr="009166B1">
        <w:rPr>
          <w:rFonts w:asciiTheme="minorHAnsi" w:hAnsiTheme="minorHAnsi" w:cs="Segoe UI"/>
          <w:szCs w:val="22"/>
        </w:rPr>
        <w:t>Funds</w:t>
      </w:r>
    </w:p>
    <w:p w14:paraId="7F8B3B4A" w14:textId="77777777" w:rsidR="009166B1" w:rsidRPr="009166B1" w:rsidRDefault="009166B1" w:rsidP="009166B1">
      <w:pPr>
        <w:numPr>
          <w:ilvl w:val="0"/>
          <w:numId w:val="16"/>
        </w:numPr>
        <w:jc w:val="both"/>
        <w:rPr>
          <w:rFonts w:asciiTheme="minorHAnsi" w:hAnsiTheme="minorHAnsi" w:cs="Segoe UI"/>
          <w:szCs w:val="22"/>
        </w:rPr>
      </w:pPr>
      <w:r w:rsidRPr="009166B1">
        <w:rPr>
          <w:rFonts w:asciiTheme="minorHAnsi" w:hAnsiTheme="minorHAnsi" w:cs="Segoe UI"/>
          <w:szCs w:val="22"/>
        </w:rPr>
        <w:t>Investment Trusts</w:t>
      </w:r>
    </w:p>
    <w:p w14:paraId="7A1DAB88" w14:textId="5AFDFB4B" w:rsidR="009166B1" w:rsidRPr="00E671F3" w:rsidRDefault="009166B1" w:rsidP="006757FC">
      <w:pPr>
        <w:numPr>
          <w:ilvl w:val="0"/>
          <w:numId w:val="16"/>
        </w:numPr>
        <w:jc w:val="both"/>
        <w:rPr>
          <w:rFonts w:asciiTheme="minorHAnsi" w:hAnsiTheme="minorHAnsi" w:cs="Segoe UI"/>
          <w:szCs w:val="22"/>
        </w:rPr>
      </w:pPr>
      <w:r w:rsidRPr="009166B1">
        <w:rPr>
          <w:rFonts w:asciiTheme="minorHAnsi" w:hAnsiTheme="minorHAnsi" w:cs="Segoe UI"/>
          <w:szCs w:val="22"/>
        </w:rPr>
        <w:t xml:space="preserve">Discretionary Portfolio Management. </w:t>
      </w:r>
    </w:p>
    <w:p w14:paraId="422782D7" w14:textId="77777777" w:rsidR="00E671F3" w:rsidRDefault="00E671F3" w:rsidP="009166B1">
      <w:pPr>
        <w:jc w:val="both"/>
        <w:rPr>
          <w:rFonts w:asciiTheme="minorHAnsi" w:hAnsiTheme="minorHAnsi" w:cs="Segoe UI"/>
          <w:szCs w:val="22"/>
        </w:rPr>
      </w:pPr>
    </w:p>
    <w:p w14:paraId="5F4A7C09" w14:textId="5C9E6494"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 xml:space="preserve">These are meant as a guide only, but should provide a good starting point for complying with the Ex-Ante requirements. These templates can be rendered on web pages, emailed, hyperlinked as .pdf documents, and/or provided in hard copy format.  </w:t>
      </w:r>
    </w:p>
    <w:p w14:paraId="47855A3C" w14:textId="77777777" w:rsidR="009166B1" w:rsidRPr="009166B1" w:rsidRDefault="009166B1" w:rsidP="009166B1">
      <w:pPr>
        <w:jc w:val="both"/>
        <w:rPr>
          <w:rFonts w:asciiTheme="minorHAnsi" w:hAnsiTheme="minorHAnsi" w:cs="Segoe UI"/>
          <w:szCs w:val="22"/>
        </w:rPr>
      </w:pPr>
    </w:p>
    <w:p w14:paraId="61E37807" w14:textId="43857707" w:rsidR="009166B1" w:rsidRPr="009166B1" w:rsidRDefault="00F55A2C" w:rsidP="009166B1">
      <w:pPr>
        <w:jc w:val="both"/>
        <w:rPr>
          <w:rFonts w:asciiTheme="minorHAnsi" w:hAnsiTheme="minorHAnsi" w:cs="Segoe UI"/>
          <w:szCs w:val="22"/>
        </w:rPr>
      </w:pPr>
      <w:r>
        <w:rPr>
          <w:rFonts w:asciiTheme="minorHAnsi" w:hAnsiTheme="minorHAnsi" w:cs="Segoe UI"/>
          <w:szCs w:val="22"/>
        </w:rPr>
        <w:t>Below is an example of an Ex-A</w:t>
      </w:r>
      <w:r w:rsidR="009166B1" w:rsidRPr="009166B1">
        <w:rPr>
          <w:rFonts w:asciiTheme="minorHAnsi" w:hAnsiTheme="minorHAnsi" w:cs="Segoe UI"/>
          <w:szCs w:val="22"/>
        </w:rPr>
        <w:t>nte template for a fu</w:t>
      </w:r>
      <w:r w:rsidR="00A3297B">
        <w:rPr>
          <w:rFonts w:asciiTheme="minorHAnsi" w:hAnsiTheme="minorHAnsi" w:cs="Segoe UI"/>
          <w:szCs w:val="22"/>
        </w:rPr>
        <w:t>nd – as might be produced by a product m</w:t>
      </w:r>
      <w:r w:rsidR="009166B1" w:rsidRPr="009166B1">
        <w:rPr>
          <w:rFonts w:asciiTheme="minorHAnsi" w:hAnsiTheme="minorHAnsi" w:cs="Segoe UI"/>
          <w:szCs w:val="22"/>
        </w:rPr>
        <w:t xml:space="preserve">anufacturer.  Clients can see charges for two different investment amounts, and can see typical charges for a regular savings </w:t>
      </w:r>
      <w:r w:rsidR="00107703" w:rsidRPr="009166B1">
        <w:rPr>
          <w:rFonts w:asciiTheme="minorHAnsi" w:hAnsiTheme="minorHAnsi" w:cs="Segoe UI"/>
          <w:szCs w:val="22"/>
        </w:rPr>
        <w:t>plan that</w:t>
      </w:r>
      <w:r w:rsidR="009166B1" w:rsidRPr="009166B1">
        <w:rPr>
          <w:rFonts w:asciiTheme="minorHAnsi" w:hAnsiTheme="minorHAnsi" w:cs="Segoe UI"/>
          <w:szCs w:val="22"/>
        </w:rPr>
        <w:t xml:space="preserve"> uses a popular monthly savings amount in its illustration. There are no service charges for this particular illustration, which is not unusual for a product manufacturer.</w:t>
      </w:r>
    </w:p>
    <w:p w14:paraId="6E808247" w14:textId="77777777" w:rsidR="009166B1" w:rsidRPr="009166B1" w:rsidRDefault="009166B1" w:rsidP="009166B1">
      <w:pPr>
        <w:jc w:val="both"/>
        <w:rPr>
          <w:rFonts w:asciiTheme="minorHAnsi" w:hAnsiTheme="minorHAnsi" w:cs="Segoe UI"/>
          <w:szCs w:val="22"/>
        </w:rPr>
      </w:pPr>
    </w:p>
    <w:p w14:paraId="1DEEFBA6" w14:textId="7438DF8D" w:rsidR="009166B1" w:rsidRPr="00D44378" w:rsidRDefault="009166B1" w:rsidP="00D44378">
      <w:pPr>
        <w:jc w:val="both"/>
        <w:rPr>
          <w:b/>
          <w:i/>
          <w:color w:val="FF0000"/>
          <w:u w:val="single"/>
        </w:rPr>
      </w:pPr>
      <w:r w:rsidRPr="009166B1">
        <w:rPr>
          <w:b/>
          <w:i/>
          <w:color w:val="FF0000"/>
          <w:u w:val="single"/>
        </w:rPr>
        <w:t>Disclaimer: this data / these figures are not representative of any specific product and are solely for illustration purposes</w:t>
      </w:r>
    </w:p>
    <w:p w14:paraId="4FB28E0F" w14:textId="72342BA5" w:rsidR="009166B1" w:rsidRDefault="009166B1" w:rsidP="009166B1">
      <w:pPr>
        <w:keepNext/>
        <w:widowControl w:val="0"/>
        <w:adjustRightInd w:val="0"/>
        <w:spacing w:before="240" w:after="60" w:line="360" w:lineRule="atLeast"/>
        <w:ind w:left="0"/>
        <w:jc w:val="both"/>
        <w:textAlignment w:val="baseline"/>
        <w:outlineLvl w:val="1"/>
        <w:rPr>
          <w:rFonts w:asciiTheme="minorHAnsi" w:eastAsiaTheme="majorEastAsia" w:hAnsiTheme="minorHAnsi" w:cstheme="majorBidi"/>
          <w:b/>
          <w:bCs/>
          <w:sz w:val="24"/>
          <w:szCs w:val="24"/>
        </w:rPr>
      </w:pPr>
      <w:r w:rsidRPr="009166B1">
        <w:rPr>
          <w:rFonts w:asciiTheme="minorHAnsi" w:eastAsiaTheme="majorEastAsia" w:hAnsiTheme="minorHAnsi" w:cstheme="majorBidi"/>
          <w:b/>
          <w:bCs/>
          <w:sz w:val="24"/>
          <w:szCs w:val="24"/>
        </w:rPr>
        <w:lastRenderedPageBreak/>
        <w:t>Example</w:t>
      </w:r>
      <w:r w:rsidRPr="009166B1">
        <w:rPr>
          <w:rFonts w:asciiTheme="minorHAnsi" w:eastAsiaTheme="majorEastAsia" w:hAnsiTheme="minorHAnsi" w:cstheme="majorBidi"/>
          <w:b/>
          <w:bCs/>
          <w:sz w:val="24"/>
          <w:szCs w:val="24"/>
          <w:lang w:val="en-GB"/>
        </w:rPr>
        <w:t xml:space="preserve"> 1 - </w:t>
      </w:r>
      <w:r w:rsidR="00C22C59">
        <w:rPr>
          <w:rFonts w:asciiTheme="minorHAnsi" w:eastAsiaTheme="majorEastAsia" w:hAnsiTheme="minorHAnsi" w:cstheme="majorBidi"/>
          <w:b/>
          <w:bCs/>
          <w:sz w:val="24"/>
          <w:szCs w:val="24"/>
        </w:rPr>
        <w:t xml:space="preserve">Fund Manufacturer </w:t>
      </w:r>
      <w:r w:rsidRPr="009166B1">
        <w:rPr>
          <w:rFonts w:asciiTheme="minorHAnsi" w:eastAsiaTheme="majorEastAsia" w:hAnsiTheme="minorHAnsi" w:cstheme="majorBidi"/>
          <w:b/>
          <w:bCs/>
          <w:sz w:val="24"/>
          <w:szCs w:val="24"/>
        </w:rPr>
        <w:t xml:space="preserve">Ex-Ante Execution Only Template </w:t>
      </w:r>
      <w:r w:rsidR="008336D5">
        <w:rPr>
          <w:rFonts w:asciiTheme="minorHAnsi" w:eastAsiaTheme="majorEastAsia" w:hAnsiTheme="minorHAnsi" w:cstheme="majorBidi"/>
          <w:b/>
          <w:bCs/>
          <w:sz w:val="24"/>
          <w:szCs w:val="24"/>
        </w:rPr>
        <w:t>–</w:t>
      </w:r>
      <w:r w:rsidRPr="009166B1">
        <w:rPr>
          <w:rFonts w:asciiTheme="minorHAnsi" w:eastAsiaTheme="majorEastAsia" w:hAnsiTheme="minorHAnsi" w:cstheme="majorBidi"/>
          <w:b/>
          <w:bCs/>
          <w:sz w:val="24"/>
          <w:szCs w:val="24"/>
        </w:rPr>
        <w:t xml:space="preserve"> Funds</w:t>
      </w:r>
    </w:p>
    <w:p w14:paraId="6D080D82" w14:textId="40D6C1FF" w:rsidR="008336D5" w:rsidRDefault="008336D5" w:rsidP="009166B1">
      <w:pPr>
        <w:keepNext/>
        <w:widowControl w:val="0"/>
        <w:adjustRightInd w:val="0"/>
        <w:spacing w:before="240" w:after="60" w:line="360" w:lineRule="atLeast"/>
        <w:ind w:left="0"/>
        <w:jc w:val="both"/>
        <w:textAlignment w:val="baseline"/>
        <w:outlineLvl w:val="1"/>
        <w:rPr>
          <w:rFonts w:asciiTheme="minorHAnsi" w:eastAsiaTheme="majorEastAsia" w:hAnsiTheme="minorHAnsi" w:cstheme="majorBidi"/>
          <w:b/>
          <w:bCs/>
          <w:sz w:val="24"/>
          <w:szCs w:val="24"/>
        </w:rPr>
      </w:pPr>
      <w:r>
        <w:rPr>
          <w:noProof/>
        </w:rPr>
        <w:drawing>
          <wp:inline distT="0" distB="0" distL="0" distR="0" wp14:anchorId="09DD2C81" wp14:editId="5DD15C08">
            <wp:extent cx="5410200" cy="6958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10200" cy="6958605"/>
                    </a:xfrm>
                    <a:prstGeom prst="rect">
                      <a:avLst/>
                    </a:prstGeom>
                  </pic:spPr>
                </pic:pic>
              </a:graphicData>
            </a:graphic>
          </wp:inline>
        </w:drawing>
      </w:r>
    </w:p>
    <w:p w14:paraId="63FF3B4D" w14:textId="77777777" w:rsidR="008336D5" w:rsidRPr="009166B1" w:rsidRDefault="008336D5" w:rsidP="009166B1">
      <w:pPr>
        <w:keepNext/>
        <w:widowControl w:val="0"/>
        <w:adjustRightInd w:val="0"/>
        <w:spacing w:before="240" w:after="60" w:line="360" w:lineRule="atLeast"/>
        <w:ind w:left="0"/>
        <w:jc w:val="both"/>
        <w:textAlignment w:val="baseline"/>
        <w:outlineLvl w:val="1"/>
        <w:rPr>
          <w:rFonts w:asciiTheme="minorHAnsi" w:eastAsiaTheme="majorEastAsia" w:hAnsiTheme="minorHAnsi" w:cstheme="majorBidi"/>
          <w:b/>
          <w:bCs/>
          <w:sz w:val="24"/>
          <w:szCs w:val="24"/>
        </w:rPr>
      </w:pPr>
    </w:p>
    <w:p w14:paraId="1000A9E6" w14:textId="567B4C8E" w:rsidR="009166B1" w:rsidRPr="009166B1" w:rsidRDefault="009166B1" w:rsidP="009166B1">
      <w:pPr>
        <w:rPr>
          <w:rFonts w:asciiTheme="minorHAnsi" w:hAnsiTheme="minorHAnsi"/>
          <w:lang w:val="x-none"/>
        </w:rPr>
      </w:pPr>
    </w:p>
    <w:p w14:paraId="186D9D8C" w14:textId="61C53C9E" w:rsidR="009166B1" w:rsidRPr="009166B1" w:rsidRDefault="009166B1" w:rsidP="00112B5D">
      <w:pPr>
        <w:spacing w:after="160" w:line="259" w:lineRule="auto"/>
        <w:ind w:left="0"/>
        <w:rPr>
          <w:rFonts w:asciiTheme="minorHAnsi" w:hAnsiTheme="minorHAnsi" w:cs="Segoe UI"/>
          <w:szCs w:val="22"/>
        </w:rPr>
      </w:pPr>
      <w:r w:rsidRPr="009166B1">
        <w:rPr>
          <w:rFonts w:asciiTheme="minorHAnsi" w:hAnsiTheme="minorHAnsi" w:cs="Segoe UI"/>
          <w:szCs w:val="22"/>
        </w:rPr>
        <w:br w:type="page"/>
      </w:r>
      <w:r w:rsidRPr="009166B1">
        <w:rPr>
          <w:rFonts w:asciiTheme="minorHAnsi" w:hAnsiTheme="minorHAnsi" w:cs="Segoe UI"/>
          <w:szCs w:val="22"/>
        </w:rPr>
        <w:lastRenderedPageBreak/>
        <w:t xml:space="preserve">Below is an example of an Investment Trust Ex-Ante template. Clients can see charges for a number of different service options offered.  Entry costs are applicable so there would be anticipated spikes in year 1 compared to subsequent years. This has been illustrated via a narrative. </w:t>
      </w:r>
    </w:p>
    <w:p w14:paraId="340B06B2" w14:textId="5334C7EA" w:rsidR="008336D5" w:rsidRPr="00112B5D" w:rsidRDefault="009166B1" w:rsidP="00112B5D">
      <w:pPr>
        <w:jc w:val="both"/>
        <w:rPr>
          <w:rFonts w:asciiTheme="minorHAnsi" w:hAnsiTheme="minorHAnsi" w:cs="Segoe UI"/>
          <w:szCs w:val="22"/>
        </w:rPr>
      </w:pPr>
      <w:r w:rsidRPr="009166B1">
        <w:rPr>
          <w:b/>
          <w:i/>
          <w:color w:val="FF0000"/>
          <w:u w:val="single"/>
        </w:rPr>
        <w:t>Disclaimer: this data / these figures are not representative of any specific product and are solely for illustration purposes</w:t>
      </w:r>
    </w:p>
    <w:p w14:paraId="1EF8D086" w14:textId="5DEBA926" w:rsidR="009166B1" w:rsidRDefault="009166B1" w:rsidP="006757FC">
      <w:pPr>
        <w:jc w:val="both"/>
        <w:rPr>
          <w:rFonts w:asciiTheme="minorHAnsi" w:eastAsiaTheme="majorEastAsia" w:hAnsiTheme="minorHAnsi" w:cstheme="majorBidi"/>
          <w:b/>
          <w:bCs/>
          <w:sz w:val="24"/>
          <w:szCs w:val="24"/>
        </w:rPr>
      </w:pPr>
      <w:r w:rsidRPr="009166B1">
        <w:rPr>
          <w:rFonts w:asciiTheme="minorHAnsi" w:eastAsiaTheme="majorEastAsia" w:hAnsiTheme="minorHAnsi" w:cstheme="majorBidi"/>
          <w:b/>
          <w:bCs/>
          <w:sz w:val="24"/>
          <w:szCs w:val="24"/>
          <w:lang w:val="en-GB"/>
        </w:rPr>
        <w:t>Example 2</w:t>
      </w:r>
      <w:r w:rsidR="00107703" w:rsidRPr="009166B1">
        <w:rPr>
          <w:rFonts w:asciiTheme="minorHAnsi" w:eastAsiaTheme="majorEastAsia" w:hAnsiTheme="minorHAnsi" w:cstheme="majorBidi"/>
          <w:b/>
          <w:bCs/>
          <w:sz w:val="24"/>
          <w:szCs w:val="24"/>
          <w:lang w:val="en-GB"/>
        </w:rPr>
        <w:t xml:space="preserve">- </w:t>
      </w:r>
      <w:r w:rsidR="00107703" w:rsidRPr="009166B1">
        <w:rPr>
          <w:rFonts w:asciiTheme="minorHAnsi" w:eastAsiaTheme="majorEastAsia" w:hAnsiTheme="minorHAnsi" w:cstheme="majorBidi"/>
          <w:b/>
          <w:bCs/>
          <w:sz w:val="24"/>
          <w:szCs w:val="24"/>
        </w:rPr>
        <w:t>Ex</w:t>
      </w:r>
      <w:r w:rsidRPr="009166B1">
        <w:rPr>
          <w:rFonts w:asciiTheme="minorHAnsi" w:eastAsiaTheme="majorEastAsia" w:hAnsiTheme="minorHAnsi" w:cstheme="majorBidi"/>
          <w:b/>
          <w:bCs/>
          <w:sz w:val="24"/>
          <w:szCs w:val="24"/>
        </w:rPr>
        <w:t>-Ante Execution Only Template – Investment Trusts</w:t>
      </w:r>
    </w:p>
    <w:p w14:paraId="1582F316" w14:textId="77777777" w:rsidR="008336D5" w:rsidRDefault="008336D5" w:rsidP="00112B5D">
      <w:pPr>
        <w:keepNext/>
        <w:keepLines/>
        <w:spacing w:before="40"/>
        <w:ind w:left="0"/>
        <w:outlineLvl w:val="1"/>
        <w:rPr>
          <w:rFonts w:asciiTheme="minorHAnsi" w:eastAsiaTheme="majorEastAsia" w:hAnsiTheme="minorHAnsi" w:cstheme="majorBidi"/>
          <w:b/>
          <w:bCs/>
          <w:sz w:val="24"/>
          <w:szCs w:val="24"/>
        </w:rPr>
      </w:pPr>
    </w:p>
    <w:p w14:paraId="5BB45C58" w14:textId="3940528A" w:rsidR="008336D5" w:rsidRPr="00112B5D" w:rsidRDefault="008336D5" w:rsidP="00112B5D">
      <w:pPr>
        <w:keepNext/>
        <w:keepLines/>
        <w:spacing w:before="40"/>
        <w:ind w:left="0"/>
        <w:outlineLvl w:val="1"/>
        <w:rPr>
          <w:rFonts w:asciiTheme="minorHAnsi" w:eastAsiaTheme="majorEastAsia" w:hAnsiTheme="minorHAnsi" w:cstheme="majorBidi"/>
          <w:b/>
          <w:bCs/>
          <w:sz w:val="24"/>
          <w:szCs w:val="24"/>
        </w:rPr>
      </w:pPr>
      <w:r>
        <w:rPr>
          <w:noProof/>
        </w:rPr>
        <w:drawing>
          <wp:inline distT="0" distB="0" distL="0" distR="0" wp14:anchorId="73AB532B" wp14:editId="756540CD">
            <wp:extent cx="5004019" cy="66103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05227" cy="6611945"/>
                    </a:xfrm>
                    <a:prstGeom prst="rect">
                      <a:avLst/>
                    </a:prstGeom>
                  </pic:spPr>
                </pic:pic>
              </a:graphicData>
            </a:graphic>
          </wp:inline>
        </w:drawing>
      </w:r>
    </w:p>
    <w:p w14:paraId="4A645994" w14:textId="34C4F31E" w:rsidR="009166B1" w:rsidRPr="009166B1" w:rsidRDefault="009166B1" w:rsidP="009166B1">
      <w:pPr>
        <w:jc w:val="both"/>
        <w:rPr>
          <w:rFonts w:asciiTheme="minorHAnsi" w:hAnsiTheme="minorHAnsi" w:cs="Segoe UI"/>
          <w:sz w:val="20"/>
        </w:rPr>
      </w:pPr>
      <w:r w:rsidRPr="009166B1">
        <w:rPr>
          <w:rFonts w:asciiTheme="minorHAnsi" w:hAnsiTheme="minorHAnsi" w:cs="Segoe UI"/>
          <w:sz w:val="20"/>
        </w:rPr>
        <w:t xml:space="preserve"> </w:t>
      </w:r>
    </w:p>
    <w:p w14:paraId="06CD65C0" w14:textId="77777777" w:rsidR="009166B1" w:rsidRPr="009166B1" w:rsidRDefault="009166B1" w:rsidP="009166B1">
      <w:pPr>
        <w:rPr>
          <w:rFonts w:asciiTheme="minorHAnsi" w:hAnsiTheme="minorHAnsi"/>
          <w:lang w:val="x-none"/>
        </w:rPr>
      </w:pPr>
    </w:p>
    <w:p w14:paraId="10C52835" w14:textId="77777777" w:rsidR="009166B1" w:rsidRPr="009166B1" w:rsidRDefault="009166B1" w:rsidP="009166B1">
      <w:pPr>
        <w:keepNext/>
        <w:keepLines/>
        <w:spacing w:before="40"/>
        <w:ind w:left="0"/>
        <w:outlineLvl w:val="1"/>
        <w:rPr>
          <w:rFonts w:asciiTheme="minorHAnsi" w:eastAsiaTheme="majorEastAsia" w:hAnsiTheme="minorHAnsi" w:cstheme="majorBidi"/>
          <w:b/>
          <w:bCs/>
          <w:sz w:val="24"/>
          <w:szCs w:val="24"/>
        </w:rPr>
      </w:pPr>
    </w:p>
    <w:p w14:paraId="76A4283B" w14:textId="77777777" w:rsidR="009166B1" w:rsidRPr="009166B1" w:rsidRDefault="009166B1" w:rsidP="009166B1">
      <w:pPr>
        <w:keepNext/>
        <w:keepLines/>
        <w:numPr>
          <w:ilvl w:val="1"/>
          <w:numId w:val="33"/>
        </w:numPr>
        <w:tabs>
          <w:tab w:val="num" w:pos="360"/>
        </w:tabs>
        <w:spacing w:before="40"/>
        <w:ind w:left="720" w:firstLine="0"/>
        <w:outlineLvl w:val="1"/>
        <w:rPr>
          <w:rFonts w:asciiTheme="minorHAnsi" w:eastAsiaTheme="majorEastAsia" w:hAnsiTheme="minorHAnsi" w:cstheme="majorBidi"/>
          <w:b/>
          <w:bCs/>
          <w:sz w:val="24"/>
          <w:szCs w:val="24"/>
        </w:rPr>
      </w:pPr>
      <w:r w:rsidRPr="009166B1">
        <w:rPr>
          <w:rFonts w:asciiTheme="minorHAnsi" w:eastAsiaTheme="majorEastAsia" w:hAnsiTheme="minorHAnsi" w:cstheme="majorBidi"/>
          <w:b/>
          <w:bCs/>
          <w:sz w:val="24"/>
          <w:szCs w:val="24"/>
          <w:lang w:val="en-GB"/>
        </w:rPr>
        <w:t xml:space="preserve">The </w:t>
      </w:r>
      <w:r w:rsidRPr="009166B1">
        <w:rPr>
          <w:rFonts w:asciiTheme="minorHAnsi" w:eastAsiaTheme="majorEastAsia" w:hAnsiTheme="minorHAnsi" w:cstheme="majorBidi"/>
          <w:b/>
          <w:bCs/>
          <w:sz w:val="24"/>
          <w:szCs w:val="24"/>
        </w:rPr>
        <w:t>Execution-Only Template for Funds</w:t>
      </w:r>
    </w:p>
    <w:p w14:paraId="12A85B5E" w14:textId="77777777" w:rsidR="009166B1" w:rsidRPr="009166B1" w:rsidRDefault="009166B1" w:rsidP="009166B1">
      <w:pPr>
        <w:jc w:val="both"/>
        <w:rPr>
          <w:rFonts w:asciiTheme="minorHAnsi" w:hAnsiTheme="minorHAnsi" w:cs="Segoe UI"/>
          <w:color w:val="FF0000"/>
          <w:sz w:val="20"/>
        </w:rPr>
      </w:pPr>
    </w:p>
    <w:p w14:paraId="5FC5E942" w14:textId="77777777" w:rsidR="009166B1" w:rsidRPr="009166B1" w:rsidRDefault="009166B1" w:rsidP="00407DFF">
      <w:pPr>
        <w:jc w:val="both"/>
        <w:rPr>
          <w:rFonts w:asciiTheme="minorHAnsi" w:hAnsiTheme="minorHAnsi" w:cs="Segoe UI"/>
          <w:szCs w:val="22"/>
        </w:rPr>
      </w:pPr>
      <w:r w:rsidRPr="009166B1">
        <w:rPr>
          <w:rFonts w:asciiTheme="minorHAnsi" w:hAnsiTheme="minorHAnsi" w:cs="Segoe UI"/>
          <w:szCs w:val="22"/>
        </w:rPr>
        <w:t>For an execution-only relationship, where a client may typically be investing via a web portal, and no prior engagement/discussion with the client has been undertaken, very little maybe known about the size of any potential trade, or any other investment decisions which may affect the charges applicable.  Different illustrations should be utilised to help bring out these differences and make it as easy as possible for the client to understand the relevant charges applicable to their own potential investment. Illustrations can include graphs, numbers or purely text.</w:t>
      </w:r>
    </w:p>
    <w:p w14:paraId="46926716" w14:textId="77777777" w:rsidR="009166B1" w:rsidRPr="009166B1" w:rsidRDefault="009166B1" w:rsidP="009166B1">
      <w:pPr>
        <w:jc w:val="both"/>
        <w:rPr>
          <w:rFonts w:asciiTheme="minorHAnsi" w:hAnsiTheme="minorHAnsi" w:cs="Segoe UI"/>
          <w:szCs w:val="22"/>
        </w:rPr>
      </w:pPr>
    </w:p>
    <w:p w14:paraId="79899639" w14:textId="02AF9759"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 xml:space="preserve">Some investment firms may implement a more interactive </w:t>
      </w:r>
      <w:r w:rsidR="00107703" w:rsidRPr="009166B1">
        <w:rPr>
          <w:rFonts w:asciiTheme="minorHAnsi" w:hAnsiTheme="minorHAnsi" w:cs="Segoe UI"/>
          <w:szCs w:val="22"/>
        </w:rPr>
        <w:t>solution that</w:t>
      </w:r>
      <w:r w:rsidRPr="009166B1">
        <w:rPr>
          <w:rFonts w:asciiTheme="minorHAnsi" w:hAnsiTheme="minorHAnsi" w:cs="Segoe UI"/>
          <w:szCs w:val="22"/>
        </w:rPr>
        <w:t xml:space="preserve"> could tailor the template to be more specific to the potential investor’s investment amount or other variables. </w:t>
      </w:r>
    </w:p>
    <w:p w14:paraId="2E5503BE" w14:textId="77777777" w:rsidR="009166B1" w:rsidRPr="009166B1" w:rsidRDefault="009166B1" w:rsidP="009166B1">
      <w:pPr>
        <w:jc w:val="both"/>
        <w:rPr>
          <w:rFonts w:asciiTheme="minorHAnsi" w:hAnsiTheme="minorHAnsi" w:cs="Segoe UI"/>
          <w:szCs w:val="22"/>
        </w:rPr>
      </w:pPr>
    </w:p>
    <w:p w14:paraId="0E7D4D3E" w14:textId="77777777"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 xml:space="preserve">Whatever the level of sophistication involved, the Ex-Ante template </w:t>
      </w:r>
      <w:r w:rsidRPr="009166B1">
        <w:rPr>
          <w:rFonts w:asciiTheme="minorHAnsi" w:hAnsiTheme="minorHAnsi" w:cs="Segoe UI"/>
          <w:i/>
          <w:szCs w:val="22"/>
        </w:rPr>
        <w:t>must</w:t>
      </w:r>
      <w:r w:rsidRPr="009166B1">
        <w:rPr>
          <w:rFonts w:asciiTheme="minorHAnsi" w:hAnsiTheme="minorHAnsi" w:cs="Segoe UI"/>
          <w:szCs w:val="22"/>
        </w:rPr>
        <w:t xml:space="preserve"> be sufficient for a potential investor to understand the impact of ALL costs and charges on any potential investment. </w:t>
      </w:r>
    </w:p>
    <w:p w14:paraId="7809065B" w14:textId="77777777" w:rsidR="009166B1" w:rsidRPr="009166B1" w:rsidRDefault="009166B1" w:rsidP="009166B1">
      <w:pPr>
        <w:jc w:val="both"/>
        <w:rPr>
          <w:rFonts w:asciiTheme="minorHAnsi" w:hAnsiTheme="minorHAnsi" w:cs="Segoe UI"/>
          <w:szCs w:val="22"/>
        </w:rPr>
      </w:pPr>
    </w:p>
    <w:p w14:paraId="0D45D22A" w14:textId="09CF0B23"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 xml:space="preserve">TISA recommends that clients </w:t>
      </w:r>
      <w:r w:rsidR="00187142" w:rsidRPr="009166B1">
        <w:rPr>
          <w:rFonts w:asciiTheme="minorHAnsi" w:hAnsiTheme="minorHAnsi" w:cs="Segoe UI"/>
          <w:szCs w:val="22"/>
        </w:rPr>
        <w:t>be</w:t>
      </w:r>
      <w:r w:rsidRPr="009166B1">
        <w:rPr>
          <w:rFonts w:asciiTheme="minorHAnsi" w:hAnsiTheme="minorHAnsi" w:cs="Segoe UI"/>
          <w:szCs w:val="22"/>
        </w:rPr>
        <w:t xml:space="preserve"> provided with the breakdown per Annex 2 of the M</w:t>
      </w:r>
      <w:r w:rsidR="00A3297B">
        <w:rPr>
          <w:rFonts w:asciiTheme="minorHAnsi" w:hAnsiTheme="minorHAnsi" w:cs="Segoe UI"/>
          <w:szCs w:val="22"/>
        </w:rPr>
        <w:t>iFID II Delegated Regulation up-</w:t>
      </w:r>
      <w:r w:rsidRPr="009166B1">
        <w:rPr>
          <w:rFonts w:asciiTheme="minorHAnsi" w:hAnsiTheme="minorHAnsi" w:cs="Segoe UI"/>
          <w:szCs w:val="22"/>
        </w:rPr>
        <w:t xml:space="preserve">front rather than only upon request (See </w:t>
      </w:r>
      <w:r w:rsidR="00A3297B" w:rsidRPr="00EC5EBD">
        <w:rPr>
          <w:rFonts w:asciiTheme="minorHAnsi" w:hAnsiTheme="minorHAnsi" w:cs="Segoe UI"/>
          <w:szCs w:val="22"/>
        </w:rPr>
        <w:t>Sections 3.2.2 and 3.2.3</w:t>
      </w:r>
      <w:r w:rsidRPr="00EC5EBD">
        <w:rPr>
          <w:rFonts w:asciiTheme="minorHAnsi" w:hAnsiTheme="minorHAnsi" w:cs="Segoe UI"/>
          <w:szCs w:val="22"/>
        </w:rPr>
        <w:t>).</w:t>
      </w:r>
    </w:p>
    <w:p w14:paraId="4A9C4789" w14:textId="77777777" w:rsidR="009166B1" w:rsidRPr="009166B1" w:rsidRDefault="009166B1" w:rsidP="009166B1">
      <w:pPr>
        <w:autoSpaceDE w:val="0"/>
        <w:autoSpaceDN w:val="0"/>
        <w:adjustRightInd w:val="0"/>
        <w:jc w:val="both"/>
        <w:rPr>
          <w:rFonts w:asciiTheme="minorHAnsi" w:hAnsiTheme="minorHAnsi" w:cs="Segoe UI"/>
          <w:b/>
          <w:bCs/>
          <w:color w:val="000000"/>
          <w:szCs w:val="22"/>
        </w:rPr>
      </w:pPr>
    </w:p>
    <w:p w14:paraId="68712809" w14:textId="77777777"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Q14 of the ESMA Investor Protection Q&amp;A</w:t>
      </w:r>
      <w:r w:rsidRPr="009166B1">
        <w:rPr>
          <w:rFonts w:asciiTheme="minorHAnsi" w:hAnsiTheme="minorHAnsi" w:cs="Segoe UI"/>
          <w:szCs w:val="22"/>
          <w:vertAlign w:val="superscript"/>
        </w:rPr>
        <w:footnoteReference w:id="24"/>
      </w:r>
      <w:r w:rsidRPr="009166B1">
        <w:rPr>
          <w:rFonts w:asciiTheme="minorHAnsi" w:hAnsiTheme="minorHAnsi" w:cs="Segoe UI"/>
          <w:szCs w:val="22"/>
        </w:rPr>
        <w:t xml:space="preserve"> is fairly clear on what should be provided.</w:t>
      </w:r>
    </w:p>
    <w:p w14:paraId="5819D63B" w14:textId="77777777" w:rsidR="009166B1" w:rsidRPr="009166B1" w:rsidRDefault="009166B1" w:rsidP="009166B1">
      <w:pPr>
        <w:autoSpaceDE w:val="0"/>
        <w:autoSpaceDN w:val="0"/>
        <w:adjustRightInd w:val="0"/>
        <w:jc w:val="both"/>
        <w:rPr>
          <w:rFonts w:asciiTheme="minorHAnsi" w:hAnsiTheme="minorHAnsi" w:cs="Segoe UI"/>
          <w:i/>
          <w:color w:val="000000"/>
          <w:szCs w:val="22"/>
        </w:rPr>
      </w:pPr>
    </w:p>
    <w:p w14:paraId="723C8406" w14:textId="77777777" w:rsidR="009166B1" w:rsidRPr="009166B1" w:rsidRDefault="009166B1" w:rsidP="009166B1">
      <w:pPr>
        <w:autoSpaceDE w:val="0"/>
        <w:autoSpaceDN w:val="0"/>
        <w:adjustRightInd w:val="0"/>
        <w:jc w:val="both"/>
        <w:rPr>
          <w:rFonts w:asciiTheme="minorHAnsi" w:hAnsiTheme="minorHAnsi" w:cs="Segoe UI"/>
          <w:i/>
          <w:color w:val="000000"/>
          <w:szCs w:val="22"/>
        </w:rPr>
      </w:pPr>
      <w:r w:rsidRPr="009166B1">
        <w:rPr>
          <w:rFonts w:asciiTheme="minorHAnsi" w:hAnsiTheme="minorHAnsi" w:cs="Segoe UI"/>
          <w:i/>
          <w:color w:val="000000"/>
          <w:szCs w:val="22"/>
        </w:rPr>
        <w:t>“In line with recital 78 of the MiFID II Delegated Regulation, investment firms should disclose the costs associated with the products and the service the client intends to subscribe to. In the case of potential clients, adapting the information may only be possible when the potential client has engaged with the investment firm. Until then, investment firms could disclose generic ex-ante information on costs and charges using other means, such as disclosing costs and charges for several examples of investor types, providing online access to interactive cost calculation tools or providing cost tables that include multiple investment scenarios.”</w:t>
      </w:r>
    </w:p>
    <w:p w14:paraId="16A1DE48" w14:textId="77777777" w:rsidR="009166B1" w:rsidRPr="009166B1" w:rsidRDefault="009166B1" w:rsidP="009166B1">
      <w:pPr>
        <w:jc w:val="both"/>
        <w:rPr>
          <w:rFonts w:asciiTheme="minorHAnsi" w:hAnsiTheme="minorHAnsi" w:cs="Segoe UI"/>
          <w:szCs w:val="22"/>
        </w:rPr>
      </w:pPr>
    </w:p>
    <w:p w14:paraId="5AD92C9F" w14:textId="3ADC2D84" w:rsidR="009166B1" w:rsidRPr="009166B1" w:rsidRDefault="009166B1" w:rsidP="009166B1">
      <w:pPr>
        <w:jc w:val="both"/>
        <w:rPr>
          <w:rFonts w:asciiTheme="minorHAnsi" w:hAnsiTheme="minorHAnsi" w:cs="Segoe UI"/>
          <w:szCs w:val="22"/>
        </w:rPr>
      </w:pPr>
      <w:r w:rsidRPr="009166B1">
        <w:rPr>
          <w:rFonts w:asciiTheme="minorHAnsi" w:hAnsiTheme="minorHAnsi" w:cs="Segoe UI"/>
          <w:szCs w:val="22"/>
        </w:rPr>
        <w:t xml:space="preserve">The period of </w:t>
      </w:r>
      <w:r w:rsidR="00107703" w:rsidRPr="009166B1">
        <w:rPr>
          <w:rFonts w:asciiTheme="minorHAnsi" w:hAnsiTheme="minorHAnsi" w:cs="Segoe UI"/>
          <w:szCs w:val="22"/>
        </w:rPr>
        <w:t>time that the template looks forward</w:t>
      </w:r>
      <w:r w:rsidRPr="009166B1">
        <w:rPr>
          <w:rFonts w:asciiTheme="minorHAnsi" w:hAnsiTheme="minorHAnsi" w:cs="Segoe UI"/>
          <w:szCs w:val="22"/>
        </w:rPr>
        <w:t xml:space="preserve"> is not prescribed in the regulatory text, but clearly firms should provide illustrations that factor in any charges that might occur during the lifecycle of the investment.</w:t>
      </w:r>
    </w:p>
    <w:p w14:paraId="3F6900B9" w14:textId="77777777" w:rsidR="0081774E" w:rsidRDefault="0081774E" w:rsidP="007D53AC">
      <w:pPr>
        <w:pStyle w:val="Default"/>
        <w:spacing w:line="276" w:lineRule="auto"/>
        <w:ind w:left="720"/>
        <w:jc w:val="both"/>
        <w:rPr>
          <w:rFonts w:asciiTheme="minorHAnsi" w:hAnsiTheme="minorHAnsi" w:cs="Segoe UI"/>
          <w:sz w:val="22"/>
          <w:szCs w:val="22"/>
        </w:rPr>
      </w:pPr>
    </w:p>
    <w:p w14:paraId="3A4D8F73" w14:textId="77777777" w:rsidR="0081774E" w:rsidRPr="00094024" w:rsidRDefault="0081774E" w:rsidP="007D53AC">
      <w:pPr>
        <w:pStyle w:val="Default"/>
        <w:spacing w:line="276" w:lineRule="auto"/>
        <w:ind w:left="720"/>
        <w:jc w:val="both"/>
        <w:rPr>
          <w:rFonts w:asciiTheme="minorHAnsi" w:hAnsiTheme="minorHAnsi" w:cs="Segoe UI"/>
          <w:sz w:val="22"/>
          <w:szCs w:val="22"/>
        </w:rPr>
      </w:pPr>
    </w:p>
    <w:p w14:paraId="3C2868A1" w14:textId="40BC509A" w:rsidR="002B0348" w:rsidRPr="00BB03AB" w:rsidRDefault="00714504" w:rsidP="0081774E">
      <w:pPr>
        <w:pStyle w:val="Heading1"/>
        <w:rPr>
          <w:rFonts w:asciiTheme="minorHAnsi" w:hAnsiTheme="minorHAnsi"/>
          <w:b/>
          <w:color w:val="auto"/>
          <w:sz w:val="28"/>
          <w:szCs w:val="28"/>
          <w:lang w:val="en-GB"/>
        </w:rPr>
      </w:pPr>
      <w:r w:rsidRPr="00094024">
        <w:br w:type="page"/>
      </w:r>
      <w:bookmarkStart w:id="301" w:name="_Toc364001886"/>
      <w:bookmarkStart w:id="302" w:name="_Toc364343137"/>
      <w:bookmarkStart w:id="303" w:name="_Toc364343324"/>
      <w:bookmarkStart w:id="304" w:name="_Toc364343683"/>
      <w:bookmarkStart w:id="305" w:name="_Toc364635748"/>
      <w:bookmarkStart w:id="306" w:name="_Toc364636140"/>
      <w:bookmarkStart w:id="307" w:name="_Toc364636576"/>
      <w:bookmarkStart w:id="308" w:name="_Toc366502074"/>
      <w:bookmarkStart w:id="309" w:name="_Toc369907853"/>
      <w:bookmarkStart w:id="310" w:name="_Toc370052371"/>
      <w:bookmarkStart w:id="311" w:name="_Toc372234519"/>
      <w:bookmarkStart w:id="312" w:name="_Toc395871047"/>
      <w:bookmarkStart w:id="313" w:name="_Toc409468214"/>
      <w:bookmarkEnd w:id="203"/>
      <w:r w:rsidR="00CC523E" w:rsidRPr="0081774E">
        <w:rPr>
          <w:rFonts w:asciiTheme="minorHAnsi" w:hAnsiTheme="minorHAnsi"/>
          <w:b/>
          <w:color w:val="auto"/>
          <w:sz w:val="28"/>
          <w:szCs w:val="28"/>
          <w:lang w:val="en-GB"/>
        </w:rPr>
        <w:lastRenderedPageBreak/>
        <w:t>MiFID</w:t>
      </w:r>
      <w:r w:rsidR="002B0348" w:rsidRPr="00C91822">
        <w:rPr>
          <w:rFonts w:asciiTheme="minorHAnsi" w:hAnsiTheme="minorHAnsi"/>
          <w:b/>
          <w:color w:val="auto"/>
          <w:sz w:val="28"/>
          <w:szCs w:val="28"/>
          <w:lang w:val="en-GB"/>
        </w:rPr>
        <w:t xml:space="preserve"> II </w:t>
      </w:r>
      <w:r w:rsidR="005106EB" w:rsidRPr="00C91822">
        <w:rPr>
          <w:rFonts w:asciiTheme="minorHAnsi" w:hAnsiTheme="minorHAnsi"/>
          <w:b/>
          <w:color w:val="auto"/>
          <w:sz w:val="28"/>
          <w:szCs w:val="28"/>
          <w:lang w:val="en-GB"/>
        </w:rPr>
        <w:t>E</w:t>
      </w:r>
      <w:r w:rsidR="002B0348" w:rsidRPr="00C91822">
        <w:rPr>
          <w:rFonts w:asciiTheme="minorHAnsi" w:hAnsiTheme="minorHAnsi"/>
          <w:b/>
          <w:color w:val="auto"/>
          <w:sz w:val="28"/>
          <w:szCs w:val="28"/>
          <w:lang w:val="en-GB"/>
        </w:rPr>
        <w:t>x</w:t>
      </w:r>
      <w:r w:rsidR="005106EB" w:rsidRPr="00BB03AB">
        <w:rPr>
          <w:rFonts w:asciiTheme="minorHAnsi" w:hAnsiTheme="minorHAnsi"/>
          <w:b/>
          <w:color w:val="auto"/>
          <w:sz w:val="28"/>
          <w:szCs w:val="28"/>
          <w:lang w:val="en-GB"/>
        </w:rPr>
        <w:t>-A</w:t>
      </w:r>
      <w:r w:rsidR="002B0348" w:rsidRPr="00BB03AB">
        <w:rPr>
          <w:rFonts w:asciiTheme="minorHAnsi" w:hAnsiTheme="minorHAnsi"/>
          <w:b/>
          <w:color w:val="auto"/>
          <w:sz w:val="28"/>
          <w:szCs w:val="28"/>
          <w:lang w:val="en-GB"/>
        </w:rPr>
        <w:t xml:space="preserve">nte </w:t>
      </w:r>
      <w:r w:rsidR="002B0348" w:rsidRPr="00BB03AB">
        <w:rPr>
          <w:rFonts w:asciiTheme="minorHAnsi" w:hAnsiTheme="minorHAnsi"/>
          <w:b/>
          <w:color w:val="auto"/>
          <w:sz w:val="28"/>
          <w:szCs w:val="28"/>
        </w:rPr>
        <w:t>discretionary portfolio management disclosures</w:t>
      </w:r>
      <w:bookmarkEnd w:id="301"/>
      <w:bookmarkEnd w:id="302"/>
      <w:bookmarkEnd w:id="303"/>
      <w:bookmarkEnd w:id="304"/>
      <w:bookmarkEnd w:id="305"/>
      <w:bookmarkEnd w:id="306"/>
      <w:bookmarkEnd w:id="307"/>
      <w:bookmarkEnd w:id="308"/>
      <w:bookmarkEnd w:id="309"/>
      <w:bookmarkEnd w:id="310"/>
      <w:bookmarkEnd w:id="311"/>
      <w:bookmarkEnd w:id="312"/>
      <w:bookmarkEnd w:id="313"/>
    </w:p>
    <w:p w14:paraId="716369AD" w14:textId="77777777" w:rsidR="00A4591F" w:rsidRPr="00A14F30" w:rsidRDefault="00A4591F" w:rsidP="00A14F30">
      <w:pPr>
        <w:jc w:val="both"/>
        <w:rPr>
          <w:rFonts w:asciiTheme="minorHAnsi" w:hAnsiTheme="minorHAnsi" w:cs="Arial"/>
          <w:iCs/>
          <w:szCs w:val="22"/>
          <w:highlight w:val="yellow"/>
        </w:rPr>
      </w:pPr>
    </w:p>
    <w:p w14:paraId="4FF3198F" w14:textId="77777777" w:rsidR="002B0348" w:rsidRPr="00A14F30" w:rsidRDefault="002B0348" w:rsidP="00A14F30">
      <w:pPr>
        <w:jc w:val="both"/>
        <w:rPr>
          <w:rFonts w:asciiTheme="minorHAnsi" w:hAnsiTheme="minorHAnsi" w:cs="Arial"/>
          <w:iCs/>
          <w:szCs w:val="22"/>
          <w:highlight w:val="yellow"/>
        </w:rPr>
      </w:pPr>
    </w:p>
    <w:p w14:paraId="0DDA11AE" w14:textId="77777777" w:rsidR="00A4591F" w:rsidRPr="007D53AC" w:rsidRDefault="00A4591F" w:rsidP="007D53AC">
      <w:pPr>
        <w:pStyle w:val="Heading2"/>
        <w:spacing w:line="276" w:lineRule="auto"/>
        <w:rPr>
          <w:sz w:val="22"/>
          <w:szCs w:val="22"/>
        </w:rPr>
      </w:pPr>
      <w:bookmarkStart w:id="314" w:name="_Toc364001887"/>
      <w:bookmarkStart w:id="315" w:name="_Toc364343138"/>
      <w:bookmarkStart w:id="316" w:name="_Toc364343325"/>
      <w:bookmarkStart w:id="317" w:name="_Toc364343684"/>
      <w:bookmarkStart w:id="318" w:name="_Toc364635749"/>
      <w:bookmarkStart w:id="319" w:name="_Toc364636141"/>
      <w:bookmarkStart w:id="320" w:name="_Toc364636577"/>
      <w:bookmarkStart w:id="321" w:name="_Toc366502075"/>
      <w:bookmarkStart w:id="322" w:name="_Toc369907854"/>
      <w:bookmarkStart w:id="323" w:name="_Toc370052372"/>
      <w:bookmarkStart w:id="324" w:name="_Toc372234520"/>
      <w:bookmarkStart w:id="325" w:name="_Toc395871048"/>
      <w:bookmarkStart w:id="326" w:name="_Toc409468215"/>
      <w:r w:rsidRPr="007D53AC">
        <w:rPr>
          <w:sz w:val="22"/>
          <w:szCs w:val="22"/>
        </w:rPr>
        <w:t>What (general) and who?</w:t>
      </w:r>
      <w:bookmarkEnd w:id="314"/>
      <w:bookmarkEnd w:id="315"/>
      <w:bookmarkEnd w:id="316"/>
      <w:bookmarkEnd w:id="317"/>
      <w:bookmarkEnd w:id="318"/>
      <w:bookmarkEnd w:id="319"/>
      <w:bookmarkEnd w:id="320"/>
      <w:bookmarkEnd w:id="321"/>
      <w:bookmarkEnd w:id="322"/>
      <w:bookmarkEnd w:id="323"/>
      <w:bookmarkEnd w:id="324"/>
      <w:bookmarkEnd w:id="325"/>
      <w:bookmarkEnd w:id="326"/>
    </w:p>
    <w:p w14:paraId="01E4EF32" w14:textId="77777777" w:rsidR="00A4591F" w:rsidRPr="00F64D34" w:rsidRDefault="00A4591F" w:rsidP="007D53AC">
      <w:pPr>
        <w:spacing w:line="276" w:lineRule="auto"/>
        <w:jc w:val="both"/>
        <w:rPr>
          <w:rFonts w:asciiTheme="minorHAnsi" w:hAnsiTheme="minorHAnsi" w:cs="Arial"/>
          <w:iCs/>
          <w:szCs w:val="22"/>
        </w:rPr>
      </w:pPr>
    </w:p>
    <w:p w14:paraId="46B9005E" w14:textId="2496E3EF" w:rsidR="00A4591F" w:rsidRPr="00F64D34" w:rsidRDefault="00A4591F" w:rsidP="007D53AC">
      <w:pPr>
        <w:spacing w:line="276" w:lineRule="auto"/>
        <w:jc w:val="both"/>
        <w:rPr>
          <w:rFonts w:asciiTheme="minorHAnsi" w:hAnsiTheme="minorHAnsi" w:cs="Arial"/>
          <w:iCs/>
          <w:szCs w:val="22"/>
        </w:rPr>
      </w:pPr>
      <w:r w:rsidRPr="00F64D34">
        <w:rPr>
          <w:rFonts w:asciiTheme="minorHAnsi" w:hAnsiTheme="minorHAnsi" w:cs="Arial"/>
          <w:iCs/>
          <w:szCs w:val="22"/>
        </w:rPr>
        <w:t xml:space="preserve">This section of the </w:t>
      </w:r>
      <w:r w:rsidR="007F3576">
        <w:rPr>
          <w:rFonts w:asciiTheme="minorHAnsi" w:hAnsiTheme="minorHAnsi" w:cs="Arial"/>
          <w:iCs/>
          <w:szCs w:val="22"/>
        </w:rPr>
        <w:t>G</w:t>
      </w:r>
      <w:r w:rsidRPr="00F64D34">
        <w:rPr>
          <w:rFonts w:asciiTheme="minorHAnsi" w:hAnsiTheme="minorHAnsi" w:cs="Arial"/>
          <w:iCs/>
          <w:szCs w:val="22"/>
        </w:rPr>
        <w:t xml:space="preserve">uide relates to the </w:t>
      </w:r>
      <w:r w:rsidR="007F3576">
        <w:rPr>
          <w:rFonts w:asciiTheme="minorHAnsi" w:hAnsiTheme="minorHAnsi" w:cs="Arial"/>
          <w:iCs/>
          <w:szCs w:val="22"/>
        </w:rPr>
        <w:t>E</w:t>
      </w:r>
      <w:r w:rsidRPr="00F64D34">
        <w:rPr>
          <w:rFonts w:asciiTheme="minorHAnsi" w:hAnsiTheme="minorHAnsi" w:cs="Arial"/>
          <w:iCs/>
          <w:szCs w:val="22"/>
        </w:rPr>
        <w:t>x-</w:t>
      </w:r>
      <w:r w:rsidR="007F3576">
        <w:rPr>
          <w:rFonts w:asciiTheme="minorHAnsi" w:hAnsiTheme="minorHAnsi" w:cs="Arial"/>
          <w:iCs/>
          <w:szCs w:val="22"/>
        </w:rPr>
        <w:t>A</w:t>
      </w:r>
      <w:r w:rsidRPr="00F64D34">
        <w:rPr>
          <w:rFonts w:asciiTheme="minorHAnsi" w:hAnsiTheme="minorHAnsi" w:cs="Arial"/>
          <w:iCs/>
          <w:szCs w:val="22"/>
        </w:rPr>
        <w:t xml:space="preserve">nte disclosures </w:t>
      </w:r>
      <w:r w:rsidR="00CC523E" w:rsidRPr="00F64D34">
        <w:rPr>
          <w:rFonts w:asciiTheme="minorHAnsi" w:hAnsiTheme="minorHAnsi" w:cs="Arial"/>
          <w:iCs/>
          <w:szCs w:val="22"/>
        </w:rPr>
        <w:t>MiFID</w:t>
      </w:r>
      <w:r w:rsidRPr="00F64D34">
        <w:rPr>
          <w:rFonts w:asciiTheme="minorHAnsi" w:hAnsiTheme="minorHAnsi" w:cs="Arial"/>
          <w:iCs/>
          <w:szCs w:val="22"/>
        </w:rPr>
        <w:t xml:space="preserve"> investment firms are to provide to their discretionary portfolio management clients (“DPM Clients”) under Article 50(6) of the </w:t>
      </w:r>
      <w:r w:rsidR="00AE2D96" w:rsidRPr="00F64D34">
        <w:rPr>
          <w:rFonts w:asciiTheme="minorHAnsi" w:hAnsiTheme="minorHAnsi" w:cs="Arial"/>
          <w:iCs/>
          <w:szCs w:val="22"/>
        </w:rPr>
        <w:t>MiFID II Delegated Regulation.</w:t>
      </w:r>
    </w:p>
    <w:p w14:paraId="425000A0" w14:textId="77777777" w:rsidR="00A4591F" w:rsidRPr="00F64D34" w:rsidRDefault="00A4591F" w:rsidP="007D53AC">
      <w:pPr>
        <w:spacing w:line="276" w:lineRule="auto"/>
        <w:jc w:val="both"/>
        <w:rPr>
          <w:rFonts w:asciiTheme="minorHAnsi" w:hAnsiTheme="minorHAnsi" w:cs="Arial"/>
          <w:iCs/>
          <w:szCs w:val="22"/>
        </w:rPr>
      </w:pPr>
    </w:p>
    <w:p w14:paraId="50DE0D58" w14:textId="77777777" w:rsidR="00AE2D96" w:rsidRPr="00F64D34" w:rsidRDefault="00A4591F" w:rsidP="007D53AC">
      <w:pPr>
        <w:spacing w:line="276" w:lineRule="auto"/>
        <w:jc w:val="both"/>
        <w:rPr>
          <w:rFonts w:asciiTheme="minorHAnsi" w:hAnsiTheme="minorHAnsi" w:cs="Arial"/>
          <w:iCs/>
          <w:szCs w:val="22"/>
        </w:rPr>
      </w:pPr>
      <w:r w:rsidRPr="00F64D34">
        <w:rPr>
          <w:rFonts w:asciiTheme="minorHAnsi" w:hAnsiTheme="minorHAnsi" w:cs="Arial"/>
          <w:iCs/>
          <w:szCs w:val="22"/>
        </w:rPr>
        <w:t xml:space="preserve">The obligation under Article 50(6) here is taken to mean that discretionary portfolio managers must disclose to their DPM Clients an aggregate estimate of all costs and charges for the proposed investment service (“Ex-Ante DPM Disclosure”) prior to the DPM service being provided. </w:t>
      </w:r>
    </w:p>
    <w:p w14:paraId="12B0FEC0" w14:textId="7B85CE0D" w:rsidR="00EB0F25" w:rsidRPr="00F64D34" w:rsidRDefault="00A4591F" w:rsidP="007D53AC">
      <w:pPr>
        <w:spacing w:line="276" w:lineRule="auto"/>
        <w:jc w:val="both"/>
        <w:rPr>
          <w:rFonts w:asciiTheme="minorHAnsi" w:hAnsiTheme="minorHAnsi" w:cs="Arial"/>
          <w:iCs/>
          <w:szCs w:val="22"/>
        </w:rPr>
      </w:pPr>
      <w:r w:rsidRPr="00F64D34">
        <w:rPr>
          <w:rFonts w:asciiTheme="minorHAnsi" w:hAnsiTheme="minorHAnsi" w:cs="Arial"/>
          <w:iCs/>
          <w:szCs w:val="22"/>
        </w:rPr>
        <w:t xml:space="preserve"> </w:t>
      </w:r>
    </w:p>
    <w:p w14:paraId="1234C8E1" w14:textId="69B23719" w:rsidR="00A4591F" w:rsidRPr="00F64D34" w:rsidRDefault="00005DD9" w:rsidP="007D53AC">
      <w:pPr>
        <w:spacing w:line="276" w:lineRule="auto"/>
        <w:jc w:val="both"/>
        <w:rPr>
          <w:rFonts w:asciiTheme="minorHAnsi" w:hAnsiTheme="minorHAnsi" w:cs="Arial"/>
          <w:iCs/>
          <w:szCs w:val="22"/>
        </w:rPr>
      </w:pPr>
      <w:r>
        <w:rPr>
          <w:rFonts w:asciiTheme="minorHAnsi" w:hAnsiTheme="minorHAnsi" w:cs="Arial"/>
          <w:iCs/>
          <w:szCs w:val="22"/>
        </w:rPr>
        <w:t>Firms should note</w:t>
      </w:r>
      <w:r w:rsidR="00371A2E" w:rsidRPr="00F64D34">
        <w:rPr>
          <w:rFonts w:asciiTheme="minorHAnsi" w:hAnsiTheme="minorHAnsi" w:cs="Arial"/>
          <w:iCs/>
          <w:szCs w:val="22"/>
        </w:rPr>
        <w:t xml:space="preserve"> that, as part of the provision of DPM service, </w:t>
      </w:r>
      <w:r w:rsidR="00C02C33" w:rsidRPr="00F64D34">
        <w:rPr>
          <w:rFonts w:asciiTheme="minorHAnsi" w:hAnsiTheme="minorHAnsi" w:cs="Arial"/>
          <w:iCs/>
          <w:szCs w:val="22"/>
        </w:rPr>
        <w:t xml:space="preserve">the costs of buying and selling the financial instruments within the mandate, as well as any other costs associated with these financial instruments (for example (but not limited to) an underlying fund’s ongoing charges and transaction costs) must also be disclosed </w:t>
      </w:r>
      <w:r w:rsidR="00442DE4" w:rsidRPr="00F64D34">
        <w:rPr>
          <w:rFonts w:asciiTheme="minorHAnsi" w:hAnsiTheme="minorHAnsi" w:cs="Arial"/>
          <w:iCs/>
          <w:szCs w:val="22"/>
        </w:rPr>
        <w:t xml:space="preserve">as </w:t>
      </w:r>
      <w:r w:rsidR="00371A2E" w:rsidRPr="00F64D34">
        <w:rPr>
          <w:rFonts w:asciiTheme="minorHAnsi" w:hAnsiTheme="minorHAnsi" w:cs="Arial"/>
          <w:iCs/>
          <w:szCs w:val="22"/>
        </w:rPr>
        <w:t>part of the Ex-Ante DPM Disclosure.</w:t>
      </w:r>
      <w:r w:rsidR="00AE2D96" w:rsidRPr="00F64D34">
        <w:rPr>
          <w:rFonts w:asciiTheme="minorHAnsi" w:hAnsiTheme="minorHAnsi" w:cs="Arial"/>
          <w:iCs/>
          <w:szCs w:val="22"/>
        </w:rPr>
        <w:t xml:space="preserve"> </w:t>
      </w:r>
      <w:r w:rsidR="00371A2E" w:rsidRPr="00F64D34">
        <w:rPr>
          <w:rFonts w:asciiTheme="minorHAnsi" w:hAnsiTheme="minorHAnsi" w:cs="Arial"/>
          <w:iCs/>
          <w:szCs w:val="22"/>
        </w:rPr>
        <w:t xml:space="preserve"> Please see </w:t>
      </w:r>
      <w:r w:rsidR="00442DE4" w:rsidRPr="00EC5EBD">
        <w:rPr>
          <w:rFonts w:asciiTheme="minorHAnsi" w:hAnsiTheme="minorHAnsi" w:cs="Segoe UI"/>
          <w:szCs w:val="22"/>
        </w:rPr>
        <w:t>Sections 3.2.2 and 3.2.</w:t>
      </w:r>
      <w:r w:rsidR="007F3576" w:rsidRPr="00EC5EBD">
        <w:rPr>
          <w:rFonts w:asciiTheme="minorHAnsi" w:hAnsiTheme="minorHAnsi" w:cs="Segoe UI"/>
          <w:szCs w:val="22"/>
        </w:rPr>
        <w:t>3</w:t>
      </w:r>
      <w:r w:rsidR="00F64D34" w:rsidRPr="00EC5EBD">
        <w:rPr>
          <w:rFonts w:asciiTheme="minorHAnsi" w:hAnsiTheme="minorHAnsi" w:cs="Segoe UI"/>
          <w:szCs w:val="22"/>
        </w:rPr>
        <w:t xml:space="preserve"> </w:t>
      </w:r>
      <w:r w:rsidR="00371A2E" w:rsidRPr="00F64D34">
        <w:rPr>
          <w:rFonts w:asciiTheme="minorHAnsi" w:hAnsiTheme="minorHAnsi" w:cs="Arial"/>
          <w:iCs/>
          <w:szCs w:val="22"/>
        </w:rPr>
        <w:t>for more detail.</w:t>
      </w:r>
    </w:p>
    <w:p w14:paraId="48EEA174" w14:textId="77777777" w:rsidR="00ED558E" w:rsidRPr="00F64D34" w:rsidRDefault="00ED558E" w:rsidP="007D53AC">
      <w:pPr>
        <w:spacing w:line="276" w:lineRule="auto"/>
        <w:jc w:val="both"/>
        <w:rPr>
          <w:rFonts w:asciiTheme="minorHAnsi" w:hAnsiTheme="minorHAnsi" w:cs="Arial"/>
          <w:iCs/>
          <w:szCs w:val="22"/>
        </w:rPr>
      </w:pPr>
    </w:p>
    <w:p w14:paraId="7EED4096" w14:textId="77777777" w:rsidR="00ED558E" w:rsidRPr="00D75ACD" w:rsidRDefault="00ED558E" w:rsidP="007D53AC">
      <w:pPr>
        <w:pStyle w:val="Heading2"/>
        <w:spacing w:line="276" w:lineRule="auto"/>
        <w:rPr>
          <w:szCs w:val="22"/>
        </w:rPr>
      </w:pPr>
      <w:bookmarkStart w:id="327" w:name="_Toc364343139"/>
      <w:bookmarkStart w:id="328" w:name="_Toc364343326"/>
      <w:bookmarkStart w:id="329" w:name="_Toc364343685"/>
      <w:bookmarkStart w:id="330" w:name="_Toc364635750"/>
      <w:bookmarkStart w:id="331" w:name="_Toc364636142"/>
      <w:bookmarkStart w:id="332" w:name="_Toc364636578"/>
      <w:bookmarkStart w:id="333" w:name="_Toc366502076"/>
      <w:bookmarkStart w:id="334" w:name="_Toc369907855"/>
      <w:bookmarkStart w:id="335" w:name="_Toc370052373"/>
      <w:bookmarkStart w:id="336" w:name="_Toc372234521"/>
      <w:bookmarkStart w:id="337" w:name="_Toc395871049"/>
      <w:bookmarkStart w:id="338" w:name="_Toc409468216"/>
      <w:r w:rsidRPr="007D53AC">
        <w:rPr>
          <w:sz w:val="22"/>
          <w:szCs w:val="22"/>
        </w:rPr>
        <w:t>Charges Summary</w:t>
      </w:r>
      <w:bookmarkEnd w:id="327"/>
      <w:bookmarkEnd w:id="328"/>
      <w:bookmarkEnd w:id="329"/>
      <w:bookmarkEnd w:id="330"/>
      <w:bookmarkEnd w:id="331"/>
      <w:bookmarkEnd w:id="332"/>
      <w:bookmarkEnd w:id="333"/>
      <w:bookmarkEnd w:id="334"/>
      <w:bookmarkEnd w:id="335"/>
      <w:bookmarkEnd w:id="336"/>
      <w:bookmarkEnd w:id="337"/>
      <w:bookmarkEnd w:id="338"/>
    </w:p>
    <w:p w14:paraId="6ED3C8B4" w14:textId="77777777" w:rsidR="00ED558E" w:rsidRPr="007D53AC" w:rsidRDefault="00ED558E" w:rsidP="007D53AC">
      <w:pPr>
        <w:spacing w:line="276" w:lineRule="auto"/>
        <w:rPr>
          <w:rFonts w:cstheme="minorHAnsi"/>
          <w:szCs w:val="22"/>
        </w:rPr>
      </w:pPr>
    </w:p>
    <w:p w14:paraId="4DC79827" w14:textId="611C5216" w:rsidR="00ED558E" w:rsidRPr="007D53AC" w:rsidRDefault="00ED558E" w:rsidP="007D53AC">
      <w:pPr>
        <w:spacing w:line="276" w:lineRule="auto"/>
        <w:rPr>
          <w:rFonts w:asciiTheme="minorHAnsi" w:hAnsiTheme="minorHAnsi" w:cstheme="minorHAnsi"/>
          <w:szCs w:val="22"/>
        </w:rPr>
      </w:pPr>
      <w:r w:rsidRPr="007D53AC">
        <w:rPr>
          <w:rFonts w:asciiTheme="minorHAnsi" w:hAnsiTheme="minorHAnsi" w:cstheme="minorHAnsi"/>
          <w:szCs w:val="22"/>
        </w:rPr>
        <w:t xml:space="preserve">It is a mandatory requirement to show the aggregated totals of Product, Service and any </w:t>
      </w:r>
      <w:r w:rsidR="00F64D34" w:rsidRPr="007D53AC">
        <w:rPr>
          <w:rFonts w:asciiTheme="minorHAnsi" w:hAnsiTheme="minorHAnsi" w:cstheme="minorHAnsi"/>
          <w:szCs w:val="22"/>
        </w:rPr>
        <w:t>third-</w:t>
      </w:r>
      <w:r w:rsidRPr="007D53AC">
        <w:rPr>
          <w:rFonts w:asciiTheme="minorHAnsi" w:hAnsiTheme="minorHAnsi" w:cstheme="minorHAnsi"/>
          <w:szCs w:val="22"/>
        </w:rPr>
        <w:t>party payments received. These figures must be shown as a percentage and monetary amount. As mentioned in the Ex</w:t>
      </w:r>
      <w:r w:rsidR="00F64D34" w:rsidRPr="007D53AC">
        <w:rPr>
          <w:rFonts w:asciiTheme="minorHAnsi" w:hAnsiTheme="minorHAnsi" w:cstheme="minorHAnsi"/>
          <w:szCs w:val="22"/>
        </w:rPr>
        <w:t>-</w:t>
      </w:r>
      <w:r w:rsidRPr="007D53AC">
        <w:rPr>
          <w:rFonts w:asciiTheme="minorHAnsi" w:hAnsiTheme="minorHAnsi" w:cstheme="minorHAnsi"/>
          <w:szCs w:val="22"/>
        </w:rPr>
        <w:t>Ante Funds chapter of this document above, ESMA</w:t>
      </w:r>
      <w:r w:rsidR="00B20A6E">
        <w:rPr>
          <w:rFonts w:asciiTheme="minorHAnsi" w:hAnsiTheme="minorHAnsi" w:cstheme="minorHAnsi"/>
          <w:szCs w:val="22"/>
        </w:rPr>
        <w:t xml:space="preserve"> Investor Protection </w:t>
      </w:r>
      <w:r w:rsidRPr="007D53AC">
        <w:rPr>
          <w:rFonts w:asciiTheme="minorHAnsi" w:hAnsiTheme="minorHAnsi" w:cstheme="minorHAnsi"/>
          <w:szCs w:val="22"/>
        </w:rPr>
        <w:t>Q&amp;A Q.13 offers guidance on the aggregation of the charges summary. Firms should at least provide clients with the following level of information.</w:t>
      </w:r>
    </w:p>
    <w:p w14:paraId="7D24E642" w14:textId="77777777" w:rsidR="00ED558E" w:rsidRPr="007D53AC" w:rsidRDefault="00ED558E" w:rsidP="007D53AC">
      <w:pPr>
        <w:spacing w:line="276" w:lineRule="auto"/>
        <w:rPr>
          <w:rFonts w:asciiTheme="minorHAnsi" w:hAnsiTheme="minorHAnsi" w:cstheme="minorHAnsi"/>
          <w:szCs w:val="22"/>
        </w:rPr>
      </w:pPr>
      <w:r w:rsidRPr="007D53AC">
        <w:rPr>
          <w:rFonts w:asciiTheme="minorHAnsi" w:hAnsiTheme="minorHAnsi" w:cstheme="minorHAnsi"/>
          <w:b/>
          <w:szCs w:val="22"/>
        </w:rPr>
        <w:t xml:space="preserve"> </w:t>
      </w:r>
    </w:p>
    <w:p w14:paraId="0BA266DE" w14:textId="77777777" w:rsidR="00ED558E" w:rsidRPr="007D53AC" w:rsidRDefault="00ED558E" w:rsidP="007D53AC">
      <w:pPr>
        <w:pStyle w:val="ListParagraph"/>
        <w:numPr>
          <w:ilvl w:val="0"/>
          <w:numId w:val="44"/>
        </w:numPr>
        <w:spacing w:line="276" w:lineRule="auto"/>
        <w:ind w:left="993" w:hanging="284"/>
        <w:contextualSpacing w:val="0"/>
        <w:rPr>
          <w:rFonts w:asciiTheme="minorHAnsi" w:hAnsiTheme="minorHAnsi" w:cstheme="minorHAnsi"/>
          <w:szCs w:val="22"/>
        </w:rPr>
      </w:pPr>
      <w:r w:rsidRPr="007D53AC">
        <w:rPr>
          <w:rFonts w:asciiTheme="minorHAnsi" w:hAnsiTheme="minorHAnsi" w:cstheme="minorHAnsi"/>
          <w:szCs w:val="22"/>
        </w:rPr>
        <w:t>Investment services and/or ancillary services</w:t>
      </w:r>
    </w:p>
    <w:p w14:paraId="705113E9" w14:textId="77777777" w:rsidR="00ED558E" w:rsidRPr="007D53AC" w:rsidRDefault="00ED558E" w:rsidP="007D53AC">
      <w:pPr>
        <w:pStyle w:val="ListParagraph"/>
        <w:numPr>
          <w:ilvl w:val="0"/>
          <w:numId w:val="44"/>
        </w:numPr>
        <w:spacing w:line="276" w:lineRule="auto"/>
        <w:ind w:left="993" w:hanging="284"/>
        <w:contextualSpacing w:val="0"/>
        <w:rPr>
          <w:rFonts w:asciiTheme="minorHAnsi" w:hAnsiTheme="minorHAnsi" w:cstheme="minorHAnsi"/>
          <w:szCs w:val="22"/>
        </w:rPr>
      </w:pPr>
      <w:r w:rsidRPr="007D53AC">
        <w:rPr>
          <w:rFonts w:asciiTheme="minorHAnsi" w:hAnsiTheme="minorHAnsi" w:cstheme="minorHAnsi"/>
          <w:szCs w:val="22"/>
        </w:rPr>
        <w:t>Third party payments received by the investment firm</w:t>
      </w:r>
    </w:p>
    <w:p w14:paraId="7175B380" w14:textId="2E20FA05" w:rsidR="00ED558E" w:rsidRPr="007D53AC" w:rsidRDefault="00ED558E" w:rsidP="007D53AC">
      <w:pPr>
        <w:pStyle w:val="ListParagraph"/>
        <w:numPr>
          <w:ilvl w:val="0"/>
          <w:numId w:val="44"/>
        </w:numPr>
        <w:spacing w:line="276" w:lineRule="auto"/>
        <w:ind w:left="993" w:hanging="284"/>
        <w:contextualSpacing w:val="0"/>
        <w:rPr>
          <w:rFonts w:asciiTheme="minorHAnsi" w:hAnsiTheme="minorHAnsi" w:cstheme="minorHAnsi"/>
          <w:szCs w:val="22"/>
        </w:rPr>
      </w:pPr>
      <w:r w:rsidRPr="007D53AC">
        <w:rPr>
          <w:rFonts w:asciiTheme="minorHAnsi" w:hAnsiTheme="minorHAnsi" w:cstheme="minorHAnsi"/>
          <w:szCs w:val="22"/>
        </w:rPr>
        <w:t>Financial instruments</w:t>
      </w:r>
      <w:r w:rsidR="00C30F8C">
        <w:rPr>
          <w:rFonts w:asciiTheme="minorHAnsi" w:hAnsiTheme="minorHAnsi" w:cstheme="minorHAnsi"/>
          <w:szCs w:val="22"/>
        </w:rPr>
        <w:t>.</w:t>
      </w:r>
    </w:p>
    <w:p w14:paraId="05B4AA13" w14:textId="77777777" w:rsidR="00ED558E" w:rsidRPr="00F64D34" w:rsidRDefault="00ED558E" w:rsidP="007D53AC">
      <w:pPr>
        <w:spacing w:line="276" w:lineRule="auto"/>
        <w:jc w:val="both"/>
        <w:rPr>
          <w:rFonts w:asciiTheme="minorHAnsi" w:hAnsiTheme="minorHAnsi" w:cs="Arial"/>
          <w:iCs/>
          <w:szCs w:val="22"/>
        </w:rPr>
      </w:pPr>
    </w:p>
    <w:p w14:paraId="0E0B0F8C" w14:textId="31FFA9DA" w:rsidR="00A4591F" w:rsidRPr="007D53AC" w:rsidRDefault="00ED558E" w:rsidP="007D53AC">
      <w:pPr>
        <w:spacing w:line="276" w:lineRule="auto"/>
        <w:jc w:val="both"/>
        <w:rPr>
          <w:rFonts w:asciiTheme="minorHAnsi" w:hAnsiTheme="minorHAnsi" w:cs="Arial"/>
          <w:iCs/>
          <w:szCs w:val="22"/>
        </w:rPr>
      </w:pPr>
      <w:r w:rsidRPr="007D53AC">
        <w:rPr>
          <w:rFonts w:asciiTheme="minorHAnsi" w:hAnsiTheme="minorHAnsi" w:cs="Arial"/>
          <w:iCs/>
          <w:szCs w:val="22"/>
        </w:rPr>
        <w:t xml:space="preserve">Please see </w:t>
      </w:r>
      <w:r w:rsidRPr="00EC5EBD">
        <w:rPr>
          <w:rFonts w:asciiTheme="minorHAnsi" w:hAnsiTheme="minorHAnsi" w:cs="Arial"/>
          <w:iCs/>
          <w:szCs w:val="22"/>
        </w:rPr>
        <w:t xml:space="preserve">section </w:t>
      </w:r>
      <w:r w:rsidR="00F64D34" w:rsidRPr="00EC5EBD">
        <w:rPr>
          <w:rFonts w:asciiTheme="minorHAnsi" w:hAnsiTheme="minorHAnsi" w:cs="Arial"/>
          <w:iCs/>
          <w:szCs w:val="22"/>
        </w:rPr>
        <w:t>3.2.</w:t>
      </w:r>
      <w:r w:rsidR="007F3576" w:rsidRPr="00EC5EBD">
        <w:rPr>
          <w:rFonts w:asciiTheme="minorHAnsi" w:hAnsiTheme="minorHAnsi" w:cs="Arial"/>
          <w:iCs/>
          <w:szCs w:val="22"/>
        </w:rPr>
        <w:t>4</w:t>
      </w:r>
      <w:r w:rsidR="00F64D34" w:rsidRPr="00EC5EBD">
        <w:rPr>
          <w:rFonts w:asciiTheme="minorHAnsi" w:hAnsiTheme="minorHAnsi" w:cs="Arial"/>
          <w:iCs/>
          <w:szCs w:val="22"/>
        </w:rPr>
        <w:t xml:space="preserve"> </w:t>
      </w:r>
      <w:r w:rsidRPr="007D53AC">
        <w:rPr>
          <w:rFonts w:asciiTheme="minorHAnsi" w:hAnsiTheme="minorHAnsi" w:cs="Arial"/>
          <w:iCs/>
          <w:szCs w:val="22"/>
        </w:rPr>
        <w:t xml:space="preserve">above for further information on </w:t>
      </w:r>
      <w:r w:rsidR="00AE2D96" w:rsidRPr="007D53AC">
        <w:rPr>
          <w:rFonts w:asciiTheme="minorHAnsi" w:hAnsiTheme="minorHAnsi" w:cs="Arial"/>
          <w:iCs/>
          <w:szCs w:val="22"/>
        </w:rPr>
        <w:t>thir</w:t>
      </w:r>
      <w:r w:rsidR="00F64D34" w:rsidRPr="007D53AC">
        <w:rPr>
          <w:rFonts w:asciiTheme="minorHAnsi" w:hAnsiTheme="minorHAnsi" w:cs="Arial"/>
          <w:iCs/>
          <w:szCs w:val="22"/>
        </w:rPr>
        <w:t>d-</w:t>
      </w:r>
      <w:r w:rsidRPr="007D53AC">
        <w:rPr>
          <w:rFonts w:asciiTheme="minorHAnsi" w:hAnsiTheme="minorHAnsi" w:cs="Arial"/>
          <w:iCs/>
          <w:szCs w:val="22"/>
        </w:rPr>
        <w:t>party payments</w:t>
      </w:r>
      <w:r w:rsidR="00AE2D96" w:rsidRPr="007D53AC">
        <w:rPr>
          <w:rFonts w:asciiTheme="minorHAnsi" w:hAnsiTheme="minorHAnsi" w:cs="Arial"/>
          <w:iCs/>
          <w:szCs w:val="22"/>
        </w:rPr>
        <w:t>.</w:t>
      </w:r>
    </w:p>
    <w:p w14:paraId="59601CFD" w14:textId="77777777" w:rsidR="00A4591F" w:rsidRPr="00F64D34" w:rsidRDefault="00A4591F" w:rsidP="007D53AC">
      <w:pPr>
        <w:spacing w:line="276" w:lineRule="auto"/>
        <w:jc w:val="both"/>
        <w:rPr>
          <w:rFonts w:asciiTheme="minorHAnsi" w:hAnsiTheme="minorHAnsi" w:cs="Arial"/>
          <w:i/>
          <w:iCs/>
          <w:szCs w:val="22"/>
        </w:rPr>
      </w:pPr>
    </w:p>
    <w:p w14:paraId="5744F96A" w14:textId="77777777" w:rsidR="00A4591F" w:rsidRPr="007D53AC" w:rsidRDefault="00A4591F" w:rsidP="007D53AC">
      <w:pPr>
        <w:pStyle w:val="Heading2"/>
        <w:spacing w:line="276" w:lineRule="auto"/>
        <w:rPr>
          <w:sz w:val="22"/>
          <w:szCs w:val="22"/>
        </w:rPr>
      </w:pPr>
      <w:bookmarkStart w:id="339" w:name="_Toc364001888"/>
      <w:bookmarkStart w:id="340" w:name="_Toc364343140"/>
      <w:bookmarkStart w:id="341" w:name="_Toc364343327"/>
      <w:bookmarkStart w:id="342" w:name="_Toc364343686"/>
      <w:bookmarkStart w:id="343" w:name="_Toc364635751"/>
      <w:bookmarkStart w:id="344" w:name="_Toc364636143"/>
      <w:bookmarkStart w:id="345" w:name="_Toc364636579"/>
      <w:bookmarkStart w:id="346" w:name="_Toc366502077"/>
      <w:bookmarkStart w:id="347" w:name="_Toc369907856"/>
      <w:bookmarkStart w:id="348" w:name="_Toc370052374"/>
      <w:bookmarkStart w:id="349" w:name="_Toc372234522"/>
      <w:bookmarkStart w:id="350" w:name="_Toc395871050"/>
      <w:bookmarkStart w:id="351" w:name="_Toc409468217"/>
      <w:r w:rsidRPr="007D53AC">
        <w:rPr>
          <w:sz w:val="22"/>
          <w:szCs w:val="22"/>
        </w:rPr>
        <w:t>When?</w:t>
      </w:r>
      <w:bookmarkEnd w:id="339"/>
      <w:bookmarkEnd w:id="340"/>
      <w:bookmarkEnd w:id="341"/>
      <w:bookmarkEnd w:id="342"/>
      <w:bookmarkEnd w:id="343"/>
      <w:bookmarkEnd w:id="344"/>
      <w:bookmarkEnd w:id="345"/>
      <w:bookmarkEnd w:id="346"/>
      <w:bookmarkEnd w:id="347"/>
      <w:bookmarkEnd w:id="348"/>
      <w:bookmarkEnd w:id="349"/>
      <w:bookmarkEnd w:id="350"/>
      <w:bookmarkEnd w:id="351"/>
      <w:r w:rsidRPr="007D53AC">
        <w:rPr>
          <w:sz w:val="22"/>
          <w:szCs w:val="22"/>
        </w:rPr>
        <w:br/>
      </w:r>
    </w:p>
    <w:p w14:paraId="795D1276" w14:textId="3D9B3741" w:rsidR="00F65750" w:rsidRPr="00F64D34" w:rsidRDefault="00A4591F" w:rsidP="00F64D34">
      <w:pPr>
        <w:spacing w:line="276" w:lineRule="auto"/>
        <w:jc w:val="both"/>
        <w:rPr>
          <w:rFonts w:asciiTheme="minorHAnsi" w:hAnsiTheme="minorHAnsi" w:cs="Arial"/>
          <w:iCs/>
          <w:szCs w:val="22"/>
        </w:rPr>
      </w:pPr>
      <w:r w:rsidRPr="00F64D34">
        <w:rPr>
          <w:rFonts w:asciiTheme="minorHAnsi" w:hAnsiTheme="minorHAnsi" w:cs="Arial"/>
          <w:iCs/>
          <w:szCs w:val="22"/>
          <w:u w:val="single"/>
        </w:rPr>
        <w:t>New clients</w:t>
      </w:r>
    </w:p>
    <w:p w14:paraId="71367464" w14:textId="77777777" w:rsidR="00ED102F" w:rsidRPr="00F64D34" w:rsidRDefault="00ED102F" w:rsidP="00F64D34">
      <w:pPr>
        <w:spacing w:line="276" w:lineRule="auto"/>
        <w:jc w:val="both"/>
        <w:rPr>
          <w:rFonts w:asciiTheme="minorHAnsi" w:hAnsiTheme="minorHAnsi" w:cs="Arial"/>
          <w:iCs/>
          <w:szCs w:val="22"/>
        </w:rPr>
      </w:pPr>
    </w:p>
    <w:p w14:paraId="0C2139BE" w14:textId="1E79CD03" w:rsidR="00A4591F" w:rsidRPr="00F64D34" w:rsidRDefault="00CC523E" w:rsidP="00F64D34">
      <w:pPr>
        <w:spacing w:line="276" w:lineRule="auto"/>
        <w:jc w:val="both"/>
        <w:rPr>
          <w:rFonts w:asciiTheme="minorHAnsi" w:hAnsiTheme="minorHAnsi" w:cs="Arial"/>
          <w:iCs/>
          <w:szCs w:val="22"/>
        </w:rPr>
      </w:pPr>
      <w:r w:rsidRPr="00F64D34">
        <w:rPr>
          <w:rFonts w:asciiTheme="minorHAnsi" w:hAnsiTheme="minorHAnsi" w:cs="Arial"/>
          <w:iCs/>
          <w:szCs w:val="22"/>
        </w:rPr>
        <w:t>MiFID</w:t>
      </w:r>
      <w:r w:rsidR="00A4591F" w:rsidRPr="00F64D34">
        <w:rPr>
          <w:rFonts w:asciiTheme="minorHAnsi" w:hAnsiTheme="minorHAnsi" w:cs="Arial"/>
          <w:iCs/>
          <w:szCs w:val="22"/>
        </w:rPr>
        <w:t xml:space="preserve"> investment firms must provide all new DPM clients this Ex-Ante DPM </w:t>
      </w:r>
      <w:r w:rsidR="00BB03AB">
        <w:rPr>
          <w:rFonts w:asciiTheme="minorHAnsi" w:hAnsiTheme="minorHAnsi" w:cs="Arial"/>
          <w:iCs/>
          <w:szCs w:val="22"/>
        </w:rPr>
        <w:t>d</w:t>
      </w:r>
      <w:r w:rsidR="00A4591F" w:rsidRPr="00F64D34">
        <w:rPr>
          <w:rFonts w:asciiTheme="minorHAnsi" w:hAnsiTheme="minorHAnsi" w:cs="Arial"/>
          <w:iCs/>
          <w:szCs w:val="22"/>
        </w:rPr>
        <w:t>isclosure</w:t>
      </w:r>
      <w:r w:rsidR="00BB03AB">
        <w:rPr>
          <w:rFonts w:asciiTheme="minorHAnsi" w:hAnsiTheme="minorHAnsi" w:cs="Arial"/>
          <w:iCs/>
          <w:szCs w:val="22"/>
        </w:rPr>
        <w:t xml:space="preserve"> in good time</w:t>
      </w:r>
      <w:r w:rsidR="00A4591F" w:rsidRPr="00F64D34">
        <w:rPr>
          <w:rFonts w:asciiTheme="minorHAnsi" w:hAnsiTheme="minorHAnsi" w:cs="Arial"/>
          <w:iCs/>
          <w:szCs w:val="22"/>
        </w:rPr>
        <w:t xml:space="preserve"> </w:t>
      </w:r>
      <w:r w:rsidR="00A4591F" w:rsidRPr="006757FC">
        <w:rPr>
          <w:rFonts w:asciiTheme="minorHAnsi" w:hAnsiTheme="minorHAnsi" w:cs="Arial"/>
          <w:b/>
          <w:iCs/>
          <w:szCs w:val="22"/>
        </w:rPr>
        <w:t>prior to</w:t>
      </w:r>
      <w:r w:rsidR="00A4591F" w:rsidRPr="00F64D34">
        <w:rPr>
          <w:rFonts w:asciiTheme="minorHAnsi" w:hAnsiTheme="minorHAnsi" w:cs="Arial"/>
          <w:iCs/>
          <w:szCs w:val="22"/>
        </w:rPr>
        <w:t xml:space="preserve"> the provision of the </w:t>
      </w:r>
      <w:r w:rsidR="00D03E8F" w:rsidRPr="00F64D34">
        <w:rPr>
          <w:rFonts w:asciiTheme="minorHAnsi" w:hAnsiTheme="minorHAnsi" w:cs="Arial"/>
          <w:iCs/>
          <w:szCs w:val="22"/>
        </w:rPr>
        <w:t xml:space="preserve">investment </w:t>
      </w:r>
      <w:r w:rsidR="00A4591F" w:rsidRPr="00F64D34">
        <w:rPr>
          <w:rFonts w:asciiTheme="minorHAnsi" w:hAnsiTheme="minorHAnsi" w:cs="Arial"/>
          <w:iCs/>
          <w:szCs w:val="22"/>
        </w:rPr>
        <w:t xml:space="preserve">service. </w:t>
      </w:r>
      <w:r w:rsidR="00BB03AB">
        <w:rPr>
          <w:rFonts w:asciiTheme="minorHAnsi" w:hAnsiTheme="minorHAnsi" w:cs="Arial"/>
          <w:iCs/>
          <w:szCs w:val="22"/>
        </w:rPr>
        <w:t>This should be included as part of the client on-boarding process</w:t>
      </w:r>
      <w:r w:rsidR="006A6294">
        <w:rPr>
          <w:rFonts w:asciiTheme="minorHAnsi" w:hAnsiTheme="minorHAnsi" w:cs="Arial"/>
          <w:iCs/>
          <w:szCs w:val="22"/>
        </w:rPr>
        <w:t>, however firms can provide this information at an earlier stage of the client process</w:t>
      </w:r>
      <w:r w:rsidR="003974AF">
        <w:rPr>
          <w:rFonts w:asciiTheme="minorHAnsi" w:hAnsiTheme="minorHAnsi" w:cs="Arial"/>
          <w:iCs/>
          <w:szCs w:val="22"/>
        </w:rPr>
        <w:t xml:space="preserve"> (such as RFP/pitch </w:t>
      </w:r>
      <w:r w:rsidR="006A6294">
        <w:rPr>
          <w:rFonts w:asciiTheme="minorHAnsi" w:hAnsiTheme="minorHAnsi" w:cs="Arial"/>
          <w:iCs/>
          <w:szCs w:val="22"/>
        </w:rPr>
        <w:t>stage) if desired</w:t>
      </w:r>
      <w:r w:rsidR="00BB03AB">
        <w:rPr>
          <w:rFonts w:asciiTheme="minorHAnsi" w:hAnsiTheme="minorHAnsi" w:cs="Arial"/>
          <w:iCs/>
          <w:szCs w:val="22"/>
        </w:rPr>
        <w:t>.</w:t>
      </w:r>
      <w:r w:rsidR="00A4591F" w:rsidRPr="00F64D34">
        <w:rPr>
          <w:rFonts w:asciiTheme="minorHAnsi" w:hAnsiTheme="minorHAnsi" w:cs="Arial"/>
          <w:iCs/>
          <w:szCs w:val="22"/>
        </w:rPr>
        <w:t xml:space="preserve">   </w:t>
      </w:r>
      <w:r w:rsidR="00BB03AB">
        <w:rPr>
          <w:rFonts w:asciiTheme="minorHAnsi" w:hAnsiTheme="minorHAnsi" w:cs="Arial"/>
          <w:iCs/>
          <w:szCs w:val="22"/>
        </w:rPr>
        <w:t>F</w:t>
      </w:r>
      <w:r w:rsidR="00A4591F" w:rsidRPr="00F64D34">
        <w:rPr>
          <w:rFonts w:asciiTheme="minorHAnsi" w:hAnsiTheme="minorHAnsi" w:cs="Arial"/>
          <w:iCs/>
          <w:szCs w:val="22"/>
        </w:rPr>
        <w:t xml:space="preserve">irms </w:t>
      </w:r>
      <w:r w:rsidR="00BB03AB">
        <w:rPr>
          <w:rFonts w:asciiTheme="minorHAnsi" w:hAnsiTheme="minorHAnsi" w:cs="Arial"/>
          <w:iCs/>
          <w:szCs w:val="22"/>
        </w:rPr>
        <w:t xml:space="preserve">should, in any case, </w:t>
      </w:r>
      <w:r w:rsidR="00A4591F" w:rsidRPr="00F64D34">
        <w:rPr>
          <w:rFonts w:asciiTheme="minorHAnsi" w:hAnsiTheme="minorHAnsi" w:cs="Arial"/>
          <w:iCs/>
          <w:szCs w:val="22"/>
        </w:rPr>
        <w:lastRenderedPageBreak/>
        <w:t xml:space="preserve">send an updated </w:t>
      </w:r>
      <w:r w:rsidRPr="00F64D34">
        <w:rPr>
          <w:rFonts w:asciiTheme="minorHAnsi" w:hAnsiTheme="minorHAnsi" w:cs="Arial"/>
          <w:iCs/>
          <w:szCs w:val="22"/>
        </w:rPr>
        <w:t>MiFID</w:t>
      </w:r>
      <w:r w:rsidR="00A4591F" w:rsidRPr="00F64D34">
        <w:rPr>
          <w:rFonts w:asciiTheme="minorHAnsi" w:hAnsiTheme="minorHAnsi" w:cs="Arial"/>
          <w:iCs/>
          <w:szCs w:val="22"/>
        </w:rPr>
        <w:t xml:space="preserve"> 2 Ex-Ante DPM </w:t>
      </w:r>
      <w:r w:rsidR="00BB03AB">
        <w:rPr>
          <w:rFonts w:asciiTheme="minorHAnsi" w:hAnsiTheme="minorHAnsi" w:cs="Arial"/>
          <w:iCs/>
          <w:szCs w:val="22"/>
        </w:rPr>
        <w:t>d</w:t>
      </w:r>
      <w:r w:rsidR="00A4591F" w:rsidRPr="00F64D34">
        <w:rPr>
          <w:rFonts w:asciiTheme="minorHAnsi" w:hAnsiTheme="minorHAnsi" w:cs="Arial"/>
          <w:iCs/>
          <w:szCs w:val="22"/>
        </w:rPr>
        <w:t>isclosure before the investment management agreement is signed.</w:t>
      </w:r>
    </w:p>
    <w:p w14:paraId="5A0B8645" w14:textId="77777777" w:rsidR="00EE422A" w:rsidRPr="00F64D34" w:rsidRDefault="00EE422A" w:rsidP="007D53AC">
      <w:pPr>
        <w:spacing w:line="276" w:lineRule="auto"/>
        <w:ind w:left="0"/>
        <w:jc w:val="both"/>
        <w:rPr>
          <w:rFonts w:asciiTheme="minorHAnsi" w:hAnsiTheme="minorHAnsi" w:cs="Arial"/>
          <w:iCs/>
          <w:szCs w:val="22"/>
        </w:rPr>
      </w:pPr>
    </w:p>
    <w:p w14:paraId="6E0F9885" w14:textId="7B403855" w:rsidR="00F65750" w:rsidRPr="00F64D34" w:rsidRDefault="00A4591F" w:rsidP="007D53AC">
      <w:pPr>
        <w:spacing w:line="276" w:lineRule="auto"/>
        <w:jc w:val="both"/>
        <w:rPr>
          <w:rFonts w:asciiTheme="minorHAnsi" w:hAnsiTheme="minorHAnsi" w:cs="Arial"/>
          <w:iCs/>
          <w:szCs w:val="22"/>
        </w:rPr>
      </w:pPr>
      <w:r w:rsidRPr="00F64D34">
        <w:rPr>
          <w:rFonts w:asciiTheme="minorHAnsi" w:hAnsiTheme="minorHAnsi" w:cs="Arial"/>
          <w:iCs/>
          <w:szCs w:val="22"/>
          <w:u w:val="single"/>
        </w:rPr>
        <w:t>Existing clients</w:t>
      </w:r>
      <w:r w:rsidR="00443653">
        <w:rPr>
          <w:rFonts w:asciiTheme="minorHAnsi" w:hAnsiTheme="minorHAnsi" w:cs="Arial"/>
          <w:iCs/>
          <w:szCs w:val="22"/>
          <w:u w:val="single"/>
        </w:rPr>
        <w:t xml:space="preserve"> (both pre and post 3 Jan 2018)</w:t>
      </w:r>
      <w:r w:rsidRPr="00F64D34">
        <w:rPr>
          <w:rFonts w:asciiTheme="minorHAnsi" w:hAnsiTheme="minorHAnsi" w:cs="Arial"/>
          <w:iCs/>
          <w:szCs w:val="22"/>
          <w:u w:val="single"/>
        </w:rPr>
        <w:t xml:space="preserve"> </w:t>
      </w:r>
    </w:p>
    <w:p w14:paraId="0A57FF1A" w14:textId="080F0887" w:rsidR="006A6294" w:rsidRDefault="00443653" w:rsidP="007D53AC">
      <w:pPr>
        <w:spacing w:line="276" w:lineRule="auto"/>
        <w:jc w:val="both"/>
        <w:rPr>
          <w:rFonts w:asciiTheme="minorHAnsi" w:hAnsiTheme="minorHAnsi" w:cs="Arial"/>
          <w:iCs/>
          <w:szCs w:val="22"/>
        </w:rPr>
      </w:pPr>
      <w:r>
        <w:rPr>
          <w:rFonts w:asciiTheme="minorHAnsi" w:hAnsiTheme="minorHAnsi" w:cs="Arial"/>
          <w:iCs/>
          <w:szCs w:val="22"/>
        </w:rPr>
        <w:t>W</w:t>
      </w:r>
      <w:r w:rsidR="00D57C87" w:rsidRPr="00F64D34">
        <w:rPr>
          <w:rFonts w:asciiTheme="minorHAnsi" w:hAnsiTheme="minorHAnsi" w:cs="Arial"/>
          <w:iCs/>
          <w:szCs w:val="22"/>
        </w:rPr>
        <w:t xml:space="preserve">e recommend that Ex-Ante DPM Disclosure should be provided </w:t>
      </w:r>
      <w:r>
        <w:rPr>
          <w:rFonts w:asciiTheme="minorHAnsi" w:hAnsiTheme="minorHAnsi" w:cs="Arial"/>
          <w:iCs/>
          <w:szCs w:val="22"/>
        </w:rPr>
        <w:t>only in relation</w:t>
      </w:r>
      <w:r w:rsidRPr="00F64D34">
        <w:rPr>
          <w:rFonts w:asciiTheme="minorHAnsi" w:hAnsiTheme="minorHAnsi" w:cs="Arial"/>
          <w:iCs/>
          <w:szCs w:val="22"/>
        </w:rPr>
        <w:t xml:space="preserve"> </w:t>
      </w:r>
      <w:r w:rsidR="00D57C87" w:rsidRPr="00F64D34">
        <w:rPr>
          <w:rFonts w:asciiTheme="minorHAnsi" w:hAnsiTheme="minorHAnsi" w:cs="Arial"/>
          <w:iCs/>
          <w:szCs w:val="22"/>
        </w:rPr>
        <w:t xml:space="preserve">to </w:t>
      </w:r>
      <w:r w:rsidR="00187D22" w:rsidRPr="00F64D34">
        <w:rPr>
          <w:rFonts w:asciiTheme="minorHAnsi" w:hAnsiTheme="minorHAnsi" w:cs="Arial"/>
          <w:iCs/>
          <w:szCs w:val="22"/>
        </w:rPr>
        <w:t xml:space="preserve">any change to the mandate and/or services provided which would materially impact the client’s costs and charges.  </w:t>
      </w:r>
      <w:r w:rsidR="006A6294">
        <w:rPr>
          <w:rFonts w:asciiTheme="minorHAnsi" w:hAnsiTheme="minorHAnsi" w:cs="Arial"/>
          <w:iCs/>
          <w:szCs w:val="22"/>
        </w:rPr>
        <w:t xml:space="preserve">Such </w:t>
      </w:r>
      <w:r w:rsidR="00107703">
        <w:rPr>
          <w:rFonts w:asciiTheme="minorHAnsi" w:hAnsiTheme="minorHAnsi" w:cs="Arial"/>
          <w:iCs/>
          <w:szCs w:val="22"/>
        </w:rPr>
        <w:t>c</w:t>
      </w:r>
      <w:r w:rsidR="00107703" w:rsidRPr="00F64D34">
        <w:rPr>
          <w:rFonts w:asciiTheme="minorHAnsi" w:hAnsiTheme="minorHAnsi" w:cs="Arial"/>
          <w:iCs/>
          <w:szCs w:val="22"/>
        </w:rPr>
        <w:t>hanges</w:t>
      </w:r>
      <w:r w:rsidR="00187D22" w:rsidRPr="00F64D34">
        <w:rPr>
          <w:rFonts w:asciiTheme="minorHAnsi" w:hAnsiTheme="minorHAnsi" w:cs="Arial"/>
          <w:iCs/>
          <w:szCs w:val="22"/>
        </w:rPr>
        <w:t xml:space="preserve"> to the mandates could include, but are not limited to, changes to</w:t>
      </w:r>
      <w:r w:rsidR="006A6294">
        <w:rPr>
          <w:rFonts w:asciiTheme="minorHAnsi" w:hAnsiTheme="minorHAnsi" w:cs="Arial"/>
          <w:iCs/>
          <w:szCs w:val="22"/>
        </w:rPr>
        <w:t xml:space="preserve"> management</w:t>
      </w:r>
      <w:r w:rsidR="00187D22" w:rsidRPr="00F64D34">
        <w:rPr>
          <w:rFonts w:asciiTheme="minorHAnsi" w:hAnsiTheme="minorHAnsi" w:cs="Arial"/>
          <w:iCs/>
          <w:szCs w:val="22"/>
        </w:rPr>
        <w:t xml:space="preserve"> fees and changes to investment </w:t>
      </w:r>
      <w:r>
        <w:rPr>
          <w:rFonts w:asciiTheme="minorHAnsi" w:hAnsiTheme="minorHAnsi" w:cs="Arial"/>
          <w:iCs/>
          <w:szCs w:val="22"/>
        </w:rPr>
        <w:t>strategies</w:t>
      </w:r>
      <w:r w:rsidR="00187D22" w:rsidRPr="00F64D34">
        <w:rPr>
          <w:rFonts w:asciiTheme="minorHAnsi" w:hAnsiTheme="minorHAnsi" w:cs="Arial"/>
          <w:iCs/>
          <w:szCs w:val="22"/>
        </w:rPr>
        <w:t>.</w:t>
      </w:r>
    </w:p>
    <w:p w14:paraId="61E30F55" w14:textId="6C17FD1C" w:rsidR="00A4591F" w:rsidRPr="00F64D34" w:rsidRDefault="00A4591F" w:rsidP="007D53AC">
      <w:pPr>
        <w:spacing w:line="276" w:lineRule="auto"/>
        <w:jc w:val="both"/>
        <w:rPr>
          <w:rFonts w:asciiTheme="minorHAnsi" w:hAnsiTheme="minorHAnsi" w:cs="Arial"/>
          <w:iCs/>
          <w:szCs w:val="22"/>
        </w:rPr>
      </w:pPr>
      <w:r w:rsidRPr="00F64D34">
        <w:rPr>
          <w:rFonts w:asciiTheme="minorHAnsi" w:hAnsiTheme="minorHAnsi" w:cs="Arial"/>
          <w:iCs/>
          <w:szCs w:val="22"/>
        </w:rPr>
        <w:t xml:space="preserve">  </w:t>
      </w:r>
    </w:p>
    <w:p w14:paraId="5ED01B8D" w14:textId="77777777" w:rsidR="00A4591F" w:rsidRPr="007D53AC" w:rsidRDefault="00A4591F" w:rsidP="007D53AC">
      <w:pPr>
        <w:pStyle w:val="Heading2"/>
        <w:spacing w:line="276" w:lineRule="auto"/>
        <w:rPr>
          <w:sz w:val="22"/>
          <w:szCs w:val="22"/>
        </w:rPr>
      </w:pPr>
      <w:bookmarkStart w:id="352" w:name="_Toc364001889"/>
      <w:bookmarkStart w:id="353" w:name="_Toc364343141"/>
      <w:bookmarkStart w:id="354" w:name="_Toc364343328"/>
      <w:bookmarkStart w:id="355" w:name="_Toc364343687"/>
      <w:bookmarkStart w:id="356" w:name="_Toc364635752"/>
      <w:bookmarkStart w:id="357" w:name="_Toc364636144"/>
      <w:bookmarkStart w:id="358" w:name="_Toc364636580"/>
      <w:bookmarkStart w:id="359" w:name="_Toc366502078"/>
      <w:bookmarkStart w:id="360" w:name="_Toc369907857"/>
      <w:bookmarkStart w:id="361" w:name="_Toc370052375"/>
      <w:bookmarkStart w:id="362" w:name="_Toc372234523"/>
      <w:bookmarkStart w:id="363" w:name="_Toc395871051"/>
      <w:bookmarkStart w:id="364" w:name="_Toc409468218"/>
      <w:r w:rsidRPr="007D53AC">
        <w:rPr>
          <w:sz w:val="22"/>
          <w:szCs w:val="22"/>
        </w:rPr>
        <w:t>What (more detailed)</w:t>
      </w:r>
      <w:bookmarkEnd w:id="352"/>
      <w:bookmarkEnd w:id="353"/>
      <w:bookmarkEnd w:id="354"/>
      <w:bookmarkEnd w:id="355"/>
      <w:bookmarkEnd w:id="356"/>
      <w:bookmarkEnd w:id="357"/>
      <w:bookmarkEnd w:id="358"/>
      <w:bookmarkEnd w:id="359"/>
      <w:bookmarkEnd w:id="360"/>
      <w:bookmarkEnd w:id="361"/>
      <w:bookmarkEnd w:id="362"/>
      <w:bookmarkEnd w:id="363"/>
      <w:bookmarkEnd w:id="364"/>
    </w:p>
    <w:p w14:paraId="70BDCABC" w14:textId="77777777" w:rsidR="00A4591F" w:rsidRPr="00F64D34" w:rsidRDefault="00A4591F" w:rsidP="007D53AC">
      <w:pPr>
        <w:spacing w:line="276" w:lineRule="auto"/>
        <w:jc w:val="both"/>
        <w:rPr>
          <w:rFonts w:asciiTheme="minorHAnsi" w:hAnsiTheme="minorHAnsi" w:cs="Arial"/>
          <w:iCs/>
          <w:szCs w:val="22"/>
          <w:highlight w:val="yellow"/>
        </w:rPr>
      </w:pPr>
    </w:p>
    <w:p w14:paraId="6C71B2F0" w14:textId="44347324" w:rsidR="00ED558E" w:rsidRPr="00F64D34" w:rsidRDefault="00ED558E" w:rsidP="00F64D34">
      <w:pPr>
        <w:spacing w:after="200" w:line="276" w:lineRule="auto"/>
        <w:ind w:left="567"/>
        <w:jc w:val="both"/>
        <w:rPr>
          <w:rFonts w:asciiTheme="minorHAnsi" w:eastAsiaTheme="minorHAnsi" w:hAnsiTheme="minorHAnsi" w:cs="Arial"/>
          <w:szCs w:val="22"/>
        </w:rPr>
      </w:pPr>
      <w:r w:rsidRPr="00F64D34">
        <w:rPr>
          <w:rFonts w:asciiTheme="minorHAnsi" w:eastAsiaTheme="minorHAnsi" w:hAnsiTheme="minorHAnsi" w:cs="Arial"/>
          <w:szCs w:val="22"/>
        </w:rPr>
        <w:t>There is no pre-defined layout for the Ex-Ante DPM Template.  There are however pre-defined categories for the itemi</w:t>
      </w:r>
      <w:r w:rsidR="00C565E5" w:rsidRPr="00F64D34">
        <w:rPr>
          <w:rFonts w:asciiTheme="minorHAnsi" w:eastAsiaTheme="minorHAnsi" w:hAnsiTheme="minorHAnsi" w:cs="Arial"/>
          <w:szCs w:val="22"/>
        </w:rPr>
        <w:t>s</w:t>
      </w:r>
      <w:r w:rsidRPr="00F64D34">
        <w:rPr>
          <w:rFonts w:asciiTheme="minorHAnsi" w:eastAsiaTheme="minorHAnsi" w:hAnsiTheme="minorHAnsi" w:cs="Arial"/>
          <w:szCs w:val="22"/>
        </w:rPr>
        <w:t xml:space="preserve">ation of product and service costs.  This must be readily available if requested by the client.  </w:t>
      </w:r>
      <w:r w:rsidR="00D10CEE" w:rsidRPr="00F64D34">
        <w:rPr>
          <w:rFonts w:asciiTheme="minorHAnsi" w:eastAsiaTheme="minorHAnsi" w:hAnsiTheme="minorHAnsi" w:cs="Arial"/>
          <w:szCs w:val="22"/>
        </w:rPr>
        <w:t>Some firms may want to provide a further level of granularity, but the tables in Annex II</w:t>
      </w:r>
      <w:r w:rsidR="007F3576">
        <w:rPr>
          <w:rFonts w:asciiTheme="minorHAnsi" w:eastAsiaTheme="minorHAnsi" w:hAnsiTheme="minorHAnsi" w:cs="Arial"/>
          <w:szCs w:val="22"/>
        </w:rPr>
        <w:t xml:space="preserve"> of the MiFID II Delegated Regulation</w:t>
      </w:r>
      <w:r w:rsidR="00D10CEE" w:rsidRPr="00F64D34">
        <w:rPr>
          <w:rFonts w:asciiTheme="minorHAnsi" w:eastAsiaTheme="minorHAnsi" w:hAnsiTheme="minorHAnsi" w:cs="Arial"/>
          <w:szCs w:val="22"/>
        </w:rPr>
        <w:t xml:space="preserve"> are the minimum requirement.  </w:t>
      </w:r>
      <w:r w:rsidRPr="00F64D34">
        <w:rPr>
          <w:rFonts w:asciiTheme="minorHAnsi" w:eastAsiaTheme="minorHAnsi" w:hAnsiTheme="minorHAnsi" w:cs="Arial"/>
          <w:szCs w:val="22"/>
        </w:rPr>
        <w:t xml:space="preserve">Please see </w:t>
      </w:r>
      <w:r w:rsidR="00F64D34" w:rsidRPr="00F64D34">
        <w:rPr>
          <w:rFonts w:asciiTheme="minorHAnsi" w:eastAsiaTheme="minorHAnsi" w:hAnsiTheme="minorHAnsi" w:cs="Arial"/>
          <w:szCs w:val="22"/>
        </w:rPr>
        <w:t>S</w:t>
      </w:r>
      <w:r w:rsidRPr="00F64D34">
        <w:rPr>
          <w:rFonts w:asciiTheme="minorHAnsi" w:eastAsiaTheme="minorHAnsi" w:hAnsiTheme="minorHAnsi" w:cs="Arial"/>
          <w:szCs w:val="22"/>
        </w:rPr>
        <w:t>ection</w:t>
      </w:r>
      <w:r w:rsidR="00F64D34" w:rsidRPr="00F64D34">
        <w:rPr>
          <w:rFonts w:asciiTheme="minorHAnsi" w:eastAsiaTheme="minorHAnsi" w:hAnsiTheme="minorHAnsi" w:cs="Arial"/>
          <w:szCs w:val="22"/>
        </w:rPr>
        <w:t>s</w:t>
      </w:r>
      <w:r w:rsidRPr="00F64D34">
        <w:rPr>
          <w:rFonts w:asciiTheme="minorHAnsi" w:eastAsiaTheme="minorHAnsi" w:hAnsiTheme="minorHAnsi" w:cs="Arial"/>
          <w:szCs w:val="22"/>
        </w:rPr>
        <w:t xml:space="preserve"> </w:t>
      </w:r>
      <w:r w:rsidRPr="00EC5EBD">
        <w:rPr>
          <w:rFonts w:asciiTheme="minorHAnsi" w:eastAsiaTheme="minorHAnsi" w:hAnsiTheme="minorHAnsi" w:cs="Arial"/>
          <w:szCs w:val="22"/>
        </w:rPr>
        <w:t>3.</w:t>
      </w:r>
      <w:r w:rsidR="000D06F2" w:rsidRPr="00EC5EBD">
        <w:rPr>
          <w:rFonts w:asciiTheme="minorHAnsi" w:eastAsiaTheme="minorHAnsi" w:hAnsiTheme="minorHAnsi" w:cs="Arial"/>
          <w:szCs w:val="22"/>
        </w:rPr>
        <w:t>2</w:t>
      </w:r>
      <w:r w:rsidRPr="00EC5EBD">
        <w:rPr>
          <w:rFonts w:asciiTheme="minorHAnsi" w:eastAsiaTheme="minorHAnsi" w:hAnsiTheme="minorHAnsi" w:cs="Arial"/>
          <w:szCs w:val="22"/>
        </w:rPr>
        <w:t>.2 and 3.</w:t>
      </w:r>
      <w:r w:rsidR="000D06F2" w:rsidRPr="00EC5EBD">
        <w:rPr>
          <w:rFonts w:asciiTheme="minorHAnsi" w:eastAsiaTheme="minorHAnsi" w:hAnsiTheme="minorHAnsi" w:cs="Arial"/>
          <w:szCs w:val="22"/>
        </w:rPr>
        <w:t>2</w:t>
      </w:r>
      <w:r w:rsidRPr="00EC5EBD">
        <w:rPr>
          <w:rFonts w:asciiTheme="minorHAnsi" w:eastAsiaTheme="minorHAnsi" w:hAnsiTheme="minorHAnsi" w:cs="Arial"/>
          <w:szCs w:val="22"/>
        </w:rPr>
        <w:t>.</w:t>
      </w:r>
      <w:r w:rsidR="007F3576" w:rsidRPr="00EC5EBD">
        <w:rPr>
          <w:rFonts w:asciiTheme="minorHAnsi" w:eastAsiaTheme="minorHAnsi" w:hAnsiTheme="minorHAnsi" w:cs="Arial"/>
          <w:szCs w:val="22"/>
        </w:rPr>
        <w:t>3</w:t>
      </w:r>
      <w:r w:rsidRPr="00EC5EBD">
        <w:rPr>
          <w:rFonts w:asciiTheme="minorHAnsi" w:eastAsiaTheme="minorHAnsi" w:hAnsiTheme="minorHAnsi" w:cs="Arial"/>
          <w:szCs w:val="22"/>
        </w:rPr>
        <w:t xml:space="preserve"> </w:t>
      </w:r>
      <w:r w:rsidRPr="00F64D34">
        <w:rPr>
          <w:rFonts w:asciiTheme="minorHAnsi" w:eastAsiaTheme="minorHAnsi" w:hAnsiTheme="minorHAnsi" w:cs="Arial"/>
          <w:szCs w:val="22"/>
        </w:rPr>
        <w:t xml:space="preserve">for details of these pre-defined categories and also </w:t>
      </w:r>
      <w:r w:rsidR="00395C8B">
        <w:rPr>
          <w:rFonts w:asciiTheme="minorHAnsi" w:eastAsiaTheme="minorHAnsi" w:hAnsiTheme="minorHAnsi" w:cs="Arial"/>
          <w:szCs w:val="22"/>
        </w:rPr>
        <w:t>Chapter 8</w:t>
      </w:r>
      <w:r w:rsidRPr="00F64D34">
        <w:rPr>
          <w:rFonts w:asciiTheme="minorHAnsi" w:eastAsiaTheme="minorHAnsi" w:hAnsiTheme="minorHAnsi" w:cs="Arial"/>
          <w:szCs w:val="22"/>
        </w:rPr>
        <w:t xml:space="preserve"> for a further discussion </w:t>
      </w:r>
      <w:r w:rsidR="00D10CEE" w:rsidRPr="00F64D34">
        <w:rPr>
          <w:rFonts w:asciiTheme="minorHAnsi" w:eastAsiaTheme="minorHAnsi" w:hAnsiTheme="minorHAnsi" w:cs="Arial"/>
          <w:szCs w:val="22"/>
        </w:rPr>
        <w:t xml:space="preserve">of how </w:t>
      </w:r>
      <w:r w:rsidRPr="00F64D34">
        <w:rPr>
          <w:rFonts w:asciiTheme="minorHAnsi" w:eastAsiaTheme="minorHAnsi" w:hAnsiTheme="minorHAnsi" w:cs="Arial"/>
          <w:szCs w:val="22"/>
        </w:rPr>
        <w:t xml:space="preserve">this applies to DPM.  </w:t>
      </w:r>
    </w:p>
    <w:p w14:paraId="2A20613B" w14:textId="679E2110" w:rsidR="003F360F" w:rsidRDefault="002C0481" w:rsidP="003974AF">
      <w:pPr>
        <w:spacing w:after="200" w:line="276" w:lineRule="auto"/>
        <w:ind w:left="567"/>
        <w:jc w:val="both"/>
        <w:rPr>
          <w:rFonts w:asciiTheme="minorHAnsi" w:eastAsiaTheme="minorHAnsi" w:hAnsiTheme="minorHAnsi" w:cs="Arial"/>
          <w:b/>
          <w:szCs w:val="22"/>
        </w:rPr>
      </w:pPr>
      <w:r>
        <w:rPr>
          <w:rFonts w:asciiTheme="minorHAnsi" w:eastAsiaTheme="minorHAnsi" w:hAnsiTheme="minorHAnsi" w:cs="Arial"/>
          <w:szCs w:val="22"/>
        </w:rPr>
        <w:t>In relation to the Costs and Charges Summary, the first section of the</w:t>
      </w:r>
      <w:r w:rsidR="00D520E1">
        <w:rPr>
          <w:rFonts w:asciiTheme="minorHAnsi" w:eastAsiaTheme="minorHAnsi" w:hAnsiTheme="minorHAnsi" w:cs="Arial"/>
          <w:szCs w:val="22"/>
        </w:rPr>
        <w:t xml:space="preserve"> sample</w:t>
      </w:r>
      <w:r>
        <w:rPr>
          <w:rFonts w:asciiTheme="minorHAnsi" w:eastAsiaTheme="minorHAnsi" w:hAnsiTheme="minorHAnsi" w:cs="Arial"/>
          <w:szCs w:val="22"/>
        </w:rPr>
        <w:t xml:space="preserve"> template</w:t>
      </w:r>
      <w:r w:rsidR="00D520E1">
        <w:rPr>
          <w:rFonts w:asciiTheme="minorHAnsi" w:eastAsiaTheme="minorHAnsi" w:hAnsiTheme="minorHAnsi" w:cs="Arial"/>
          <w:szCs w:val="22"/>
        </w:rPr>
        <w:t xml:space="preserve"> disclosure below</w:t>
      </w:r>
      <w:r>
        <w:rPr>
          <w:rFonts w:asciiTheme="minorHAnsi" w:eastAsiaTheme="minorHAnsi" w:hAnsiTheme="minorHAnsi" w:cs="Arial"/>
          <w:szCs w:val="22"/>
        </w:rPr>
        <w:t>, t</w:t>
      </w:r>
      <w:r w:rsidR="00A4591F" w:rsidRPr="00F64D34">
        <w:rPr>
          <w:rFonts w:asciiTheme="minorHAnsi" w:eastAsiaTheme="minorHAnsi" w:hAnsiTheme="minorHAnsi" w:cs="Arial"/>
          <w:szCs w:val="22"/>
        </w:rPr>
        <w:t>he period of data reported on is one year (and subsequent one-year periods, where relevant), presenting annualised figures</w:t>
      </w:r>
      <w:r w:rsidR="00A4591F" w:rsidRPr="006757FC">
        <w:rPr>
          <w:rFonts w:asciiTheme="minorHAnsi" w:eastAsiaTheme="minorHAnsi" w:hAnsiTheme="minorHAnsi" w:cs="Arial"/>
          <w:szCs w:val="22"/>
        </w:rPr>
        <w:t>.</w:t>
      </w:r>
      <w:r w:rsidR="00A14F30" w:rsidRPr="006757FC">
        <w:rPr>
          <w:rFonts w:asciiTheme="minorHAnsi" w:eastAsiaTheme="minorHAnsi" w:hAnsiTheme="minorHAnsi" w:cs="Arial"/>
          <w:szCs w:val="22"/>
        </w:rPr>
        <w:t xml:space="preserve"> </w:t>
      </w:r>
      <w:r w:rsidR="00C30F8C" w:rsidRPr="006757FC">
        <w:rPr>
          <w:rFonts w:asciiTheme="minorHAnsi" w:eastAsiaTheme="minorHAnsi" w:hAnsiTheme="minorHAnsi" w:cs="Arial"/>
          <w:szCs w:val="22"/>
        </w:rPr>
        <w:t xml:space="preserve"> See a sample disclosure set out below.</w:t>
      </w:r>
    </w:p>
    <w:p w14:paraId="7F9EDAC5" w14:textId="64D1BB48" w:rsidR="003F360F" w:rsidRDefault="002C0481" w:rsidP="003974AF">
      <w:pPr>
        <w:spacing w:after="200" w:line="276" w:lineRule="auto"/>
        <w:ind w:left="567"/>
        <w:jc w:val="both"/>
        <w:rPr>
          <w:rFonts w:asciiTheme="minorHAnsi" w:eastAsiaTheme="minorHAnsi" w:hAnsiTheme="minorHAnsi" w:cs="Arial"/>
          <w:b/>
          <w:szCs w:val="22"/>
        </w:rPr>
      </w:pPr>
      <w:r>
        <w:rPr>
          <w:rFonts w:asciiTheme="minorHAnsi" w:eastAsiaTheme="minorHAnsi" w:hAnsiTheme="minorHAnsi" w:cs="Arial"/>
          <w:b/>
          <w:szCs w:val="22"/>
        </w:rPr>
        <w:t>In relation to the Cumulative Effect of Fees section of the template-</w:t>
      </w:r>
    </w:p>
    <w:p w14:paraId="3C177852" w14:textId="2298FE50" w:rsidR="00A4591F" w:rsidRPr="006757FC" w:rsidRDefault="00A4591F" w:rsidP="003974AF">
      <w:pPr>
        <w:spacing w:after="200" w:line="276" w:lineRule="auto"/>
        <w:ind w:left="567"/>
        <w:jc w:val="both"/>
        <w:rPr>
          <w:rFonts w:asciiTheme="minorHAnsi" w:eastAsiaTheme="minorHAnsi" w:hAnsiTheme="minorHAnsi" w:cs="Arial"/>
          <w:szCs w:val="22"/>
        </w:rPr>
      </w:pPr>
      <w:r w:rsidRPr="00F64D34">
        <w:rPr>
          <w:rFonts w:asciiTheme="minorHAnsi" w:eastAsiaTheme="minorHAnsi" w:hAnsiTheme="minorHAnsi" w:cs="Arial"/>
          <w:b/>
          <w:szCs w:val="22"/>
        </w:rPr>
        <w:t xml:space="preserve">ESMA’s guidance in their </w:t>
      </w:r>
      <w:r w:rsidR="00CC523E" w:rsidRPr="00F64D34">
        <w:rPr>
          <w:rFonts w:asciiTheme="minorHAnsi" w:eastAsiaTheme="minorHAnsi" w:hAnsiTheme="minorHAnsi" w:cs="Arial"/>
          <w:b/>
          <w:szCs w:val="22"/>
        </w:rPr>
        <w:t>MiFID</w:t>
      </w:r>
      <w:r w:rsidRPr="00F64D34">
        <w:rPr>
          <w:rFonts w:asciiTheme="minorHAnsi" w:eastAsiaTheme="minorHAnsi" w:hAnsiTheme="minorHAnsi" w:cs="Arial"/>
          <w:b/>
          <w:szCs w:val="22"/>
        </w:rPr>
        <w:t xml:space="preserve"> 2 Investor Protection Q&amp;A notes that </w:t>
      </w:r>
      <w:r w:rsidRPr="00F64D34">
        <w:rPr>
          <w:rFonts w:asciiTheme="minorHAnsi" w:hAnsiTheme="minorHAnsi" w:cs="Arial"/>
          <w:b/>
          <w:szCs w:val="22"/>
        </w:rPr>
        <w:t xml:space="preserve">when the investment service provided to the client will involve an ongoing relationship (as is the case for DPM relationships), the </w:t>
      </w:r>
      <w:r w:rsidR="00F64D34" w:rsidRPr="00F64D34">
        <w:rPr>
          <w:rFonts w:asciiTheme="minorHAnsi" w:hAnsiTheme="minorHAnsi" w:cs="Arial"/>
          <w:b/>
          <w:szCs w:val="22"/>
        </w:rPr>
        <w:t>E</w:t>
      </w:r>
      <w:r w:rsidRPr="00F64D34">
        <w:rPr>
          <w:rFonts w:asciiTheme="minorHAnsi" w:hAnsiTheme="minorHAnsi" w:cs="Arial"/>
          <w:b/>
          <w:szCs w:val="22"/>
        </w:rPr>
        <w:t>x-</w:t>
      </w:r>
      <w:r w:rsidR="00F64D34" w:rsidRPr="00F64D34">
        <w:rPr>
          <w:rFonts w:asciiTheme="minorHAnsi" w:hAnsiTheme="minorHAnsi" w:cs="Arial"/>
          <w:b/>
          <w:szCs w:val="22"/>
        </w:rPr>
        <w:t>A</w:t>
      </w:r>
      <w:r w:rsidRPr="00F64D34">
        <w:rPr>
          <w:rFonts w:asciiTheme="minorHAnsi" w:hAnsiTheme="minorHAnsi" w:cs="Arial"/>
          <w:b/>
          <w:szCs w:val="22"/>
        </w:rPr>
        <w:t>nte cost estimation would need to cover a certain period. In this case the investment firm would be required to apply an additional set of forward looking assumptions on the client’s investment portfolio and the expected investment service(s).</w:t>
      </w:r>
      <w:r w:rsidR="003974AF">
        <w:rPr>
          <w:rFonts w:asciiTheme="minorHAnsi" w:hAnsiTheme="minorHAnsi" w:cs="Arial"/>
          <w:b/>
          <w:szCs w:val="22"/>
        </w:rPr>
        <w:t xml:space="preserve">  </w:t>
      </w:r>
      <w:r w:rsidR="003974AF" w:rsidRPr="006757FC">
        <w:rPr>
          <w:rFonts w:asciiTheme="minorHAnsi" w:hAnsiTheme="minorHAnsi" w:cs="Arial"/>
          <w:szCs w:val="22"/>
        </w:rPr>
        <w:t xml:space="preserve">Therefore </w:t>
      </w:r>
      <w:r w:rsidR="00C30F8C">
        <w:rPr>
          <w:rFonts w:asciiTheme="minorHAnsi" w:hAnsiTheme="minorHAnsi" w:cs="Arial"/>
          <w:szCs w:val="22"/>
        </w:rPr>
        <w:t>TISA</w:t>
      </w:r>
      <w:r w:rsidR="00FB0B01">
        <w:rPr>
          <w:rFonts w:asciiTheme="minorHAnsi" w:hAnsiTheme="minorHAnsi" w:cs="Arial"/>
          <w:szCs w:val="22"/>
        </w:rPr>
        <w:t xml:space="preserve"> suggest</w:t>
      </w:r>
      <w:r w:rsidR="00C30F8C">
        <w:rPr>
          <w:rFonts w:asciiTheme="minorHAnsi" w:hAnsiTheme="minorHAnsi" w:cs="Arial"/>
          <w:szCs w:val="22"/>
        </w:rPr>
        <w:t>s</w:t>
      </w:r>
      <w:r w:rsidR="00FB0B01">
        <w:rPr>
          <w:rFonts w:asciiTheme="minorHAnsi" w:hAnsiTheme="minorHAnsi" w:cs="Arial"/>
          <w:szCs w:val="22"/>
        </w:rPr>
        <w:t xml:space="preserve"> </w:t>
      </w:r>
      <w:r w:rsidR="003974AF" w:rsidRPr="006757FC">
        <w:rPr>
          <w:rFonts w:asciiTheme="minorHAnsi" w:hAnsiTheme="minorHAnsi" w:cs="Arial"/>
          <w:szCs w:val="22"/>
        </w:rPr>
        <w:t xml:space="preserve">the </w:t>
      </w:r>
      <w:r w:rsidR="003974AF" w:rsidRPr="003974AF">
        <w:rPr>
          <w:rFonts w:asciiTheme="minorHAnsi" w:eastAsiaTheme="minorHAnsi" w:hAnsiTheme="minorHAnsi" w:cs="Arial"/>
          <w:szCs w:val="22"/>
        </w:rPr>
        <w:t>period</w:t>
      </w:r>
      <w:r w:rsidR="00FB0B01">
        <w:rPr>
          <w:rFonts w:asciiTheme="minorHAnsi" w:eastAsiaTheme="minorHAnsi" w:hAnsiTheme="minorHAnsi" w:cs="Arial"/>
          <w:szCs w:val="22"/>
        </w:rPr>
        <w:t>s</w:t>
      </w:r>
      <w:r w:rsidR="003974AF" w:rsidRPr="00F64D34">
        <w:rPr>
          <w:rFonts w:asciiTheme="minorHAnsi" w:eastAsiaTheme="minorHAnsi" w:hAnsiTheme="minorHAnsi" w:cs="Arial"/>
          <w:szCs w:val="22"/>
        </w:rPr>
        <w:t xml:space="preserve"> of data reported on</w:t>
      </w:r>
      <w:r w:rsidR="00FB0B01">
        <w:rPr>
          <w:rFonts w:asciiTheme="minorHAnsi" w:eastAsiaTheme="minorHAnsi" w:hAnsiTheme="minorHAnsi" w:cs="Arial"/>
          <w:szCs w:val="22"/>
        </w:rPr>
        <w:t xml:space="preserve"> are</w:t>
      </w:r>
      <w:r w:rsidR="003974AF" w:rsidRPr="00F64D34">
        <w:rPr>
          <w:rFonts w:asciiTheme="minorHAnsi" w:eastAsiaTheme="minorHAnsi" w:hAnsiTheme="minorHAnsi" w:cs="Arial"/>
          <w:szCs w:val="22"/>
        </w:rPr>
        <w:t xml:space="preserve"> </w:t>
      </w:r>
      <w:r w:rsidR="00FB0B01">
        <w:rPr>
          <w:rFonts w:asciiTheme="minorHAnsi" w:eastAsiaTheme="minorHAnsi" w:hAnsiTheme="minorHAnsi" w:cs="Arial"/>
          <w:szCs w:val="22"/>
        </w:rPr>
        <w:t>1) first year</w:t>
      </w:r>
      <w:r w:rsidR="003974AF" w:rsidRPr="00F64D34">
        <w:rPr>
          <w:rFonts w:asciiTheme="minorHAnsi" w:eastAsiaTheme="minorHAnsi" w:hAnsiTheme="minorHAnsi" w:cs="Arial"/>
          <w:szCs w:val="22"/>
        </w:rPr>
        <w:t xml:space="preserve"> and</w:t>
      </w:r>
      <w:r w:rsidR="00FB0B01">
        <w:rPr>
          <w:rFonts w:asciiTheme="minorHAnsi" w:eastAsiaTheme="minorHAnsi" w:hAnsiTheme="minorHAnsi" w:cs="Arial"/>
          <w:szCs w:val="22"/>
        </w:rPr>
        <w:t xml:space="preserve"> 2)</w:t>
      </w:r>
      <w:r w:rsidR="003974AF" w:rsidRPr="00F64D34">
        <w:rPr>
          <w:rFonts w:asciiTheme="minorHAnsi" w:eastAsiaTheme="minorHAnsi" w:hAnsiTheme="minorHAnsi" w:cs="Arial"/>
          <w:szCs w:val="22"/>
        </w:rPr>
        <w:t xml:space="preserve"> </w:t>
      </w:r>
      <w:r w:rsidR="00FB0B01">
        <w:rPr>
          <w:rFonts w:asciiTheme="minorHAnsi" w:eastAsiaTheme="minorHAnsi" w:hAnsiTheme="minorHAnsi" w:cs="Arial"/>
          <w:szCs w:val="22"/>
        </w:rPr>
        <w:t>other relevant</w:t>
      </w:r>
      <w:r w:rsidR="003974AF">
        <w:rPr>
          <w:rFonts w:asciiTheme="minorHAnsi" w:eastAsiaTheme="minorHAnsi" w:hAnsiTheme="minorHAnsi" w:cs="Arial"/>
          <w:szCs w:val="22"/>
        </w:rPr>
        <w:t xml:space="preserve"> time period. </w:t>
      </w:r>
      <w:r w:rsidR="000E3892">
        <w:rPr>
          <w:rFonts w:asciiTheme="minorHAnsi" w:eastAsiaTheme="minorHAnsi" w:hAnsiTheme="minorHAnsi" w:cs="Arial"/>
          <w:szCs w:val="22"/>
        </w:rPr>
        <w:t>Regarding the other relevant time period, i</w:t>
      </w:r>
      <w:r w:rsidR="000E3892" w:rsidRPr="00B620C2">
        <w:rPr>
          <w:rFonts w:asciiTheme="minorHAnsi" w:eastAsiaTheme="minorHAnsi" w:hAnsiTheme="minorHAnsi" w:cs="Arial"/>
          <w:szCs w:val="22"/>
        </w:rPr>
        <w:t>f the portfolio</w:t>
      </w:r>
      <w:r w:rsidR="000E3892">
        <w:rPr>
          <w:rFonts w:asciiTheme="minorHAnsi" w:eastAsiaTheme="minorHAnsi" w:hAnsiTheme="minorHAnsi" w:cs="Arial"/>
          <w:szCs w:val="22"/>
        </w:rPr>
        <w:t xml:space="preserve"> or service</w:t>
      </w:r>
      <w:r w:rsidR="000E3892" w:rsidRPr="00B620C2">
        <w:rPr>
          <w:rFonts w:asciiTheme="minorHAnsi" w:eastAsiaTheme="minorHAnsi" w:hAnsiTheme="minorHAnsi" w:cs="Arial"/>
          <w:szCs w:val="22"/>
        </w:rPr>
        <w:t xml:space="preserve"> has a recommended holding period</w:t>
      </w:r>
      <w:r w:rsidR="000E3892">
        <w:rPr>
          <w:rFonts w:asciiTheme="minorHAnsi" w:eastAsiaTheme="minorHAnsi" w:hAnsiTheme="minorHAnsi" w:cs="Arial"/>
          <w:szCs w:val="22"/>
        </w:rPr>
        <w:t>/time horizon</w:t>
      </w:r>
      <w:r w:rsidR="000E3892" w:rsidRPr="00B620C2">
        <w:rPr>
          <w:rFonts w:asciiTheme="minorHAnsi" w:eastAsiaTheme="minorHAnsi" w:hAnsiTheme="minorHAnsi" w:cs="Arial"/>
          <w:szCs w:val="22"/>
        </w:rPr>
        <w:t xml:space="preserve">, </w:t>
      </w:r>
      <w:r w:rsidR="000E3892">
        <w:rPr>
          <w:rFonts w:asciiTheme="minorHAnsi" w:eastAsiaTheme="minorHAnsi" w:hAnsiTheme="minorHAnsi" w:cs="Arial"/>
          <w:szCs w:val="22"/>
        </w:rPr>
        <w:t>we suggest this</w:t>
      </w:r>
      <w:r w:rsidR="000E3892" w:rsidRPr="00B620C2">
        <w:rPr>
          <w:rFonts w:asciiTheme="minorHAnsi" w:eastAsiaTheme="minorHAnsi" w:hAnsiTheme="minorHAnsi" w:cs="Arial"/>
          <w:szCs w:val="22"/>
        </w:rPr>
        <w:t xml:space="preserve"> should be </w:t>
      </w:r>
      <w:r w:rsidR="000E3892">
        <w:rPr>
          <w:rFonts w:asciiTheme="minorHAnsi" w:eastAsiaTheme="minorHAnsi" w:hAnsiTheme="minorHAnsi" w:cs="Arial"/>
          <w:szCs w:val="22"/>
        </w:rPr>
        <w:t>the period displayed.</w:t>
      </w:r>
      <w:r w:rsidR="00C30F8C">
        <w:rPr>
          <w:rFonts w:asciiTheme="minorHAnsi" w:eastAsiaTheme="minorHAnsi" w:hAnsiTheme="minorHAnsi" w:cs="Arial"/>
          <w:szCs w:val="22"/>
        </w:rPr>
        <w:t xml:space="preserve"> </w:t>
      </w:r>
      <w:r w:rsidR="000E3892">
        <w:rPr>
          <w:rFonts w:asciiTheme="minorHAnsi" w:eastAsiaTheme="minorHAnsi" w:hAnsiTheme="minorHAnsi" w:cs="Arial"/>
          <w:szCs w:val="22"/>
        </w:rPr>
        <w:t xml:space="preserve"> </w:t>
      </w:r>
      <w:r w:rsidR="00CB600C">
        <w:rPr>
          <w:rFonts w:asciiTheme="minorHAnsi" w:eastAsiaTheme="minorHAnsi" w:hAnsiTheme="minorHAnsi" w:cs="Arial"/>
          <w:szCs w:val="22"/>
        </w:rPr>
        <w:t>In</w:t>
      </w:r>
      <w:r w:rsidR="000E3892">
        <w:rPr>
          <w:rFonts w:asciiTheme="minorHAnsi" w:eastAsiaTheme="minorHAnsi" w:hAnsiTheme="minorHAnsi" w:cs="Arial"/>
          <w:szCs w:val="22"/>
        </w:rPr>
        <w:t xml:space="preserve"> other cases, </w:t>
      </w:r>
      <w:r w:rsidR="00C30F8C">
        <w:rPr>
          <w:rFonts w:asciiTheme="minorHAnsi" w:eastAsiaTheme="minorHAnsi" w:hAnsiTheme="minorHAnsi" w:cs="Arial"/>
          <w:szCs w:val="22"/>
        </w:rPr>
        <w:t xml:space="preserve">TISA </w:t>
      </w:r>
      <w:r w:rsidR="000E3892">
        <w:rPr>
          <w:rFonts w:asciiTheme="minorHAnsi" w:eastAsiaTheme="minorHAnsi" w:hAnsiTheme="minorHAnsi" w:cs="Arial"/>
          <w:szCs w:val="22"/>
        </w:rPr>
        <w:t>suggest</w:t>
      </w:r>
      <w:r w:rsidR="00C30F8C">
        <w:rPr>
          <w:rFonts w:asciiTheme="minorHAnsi" w:eastAsiaTheme="minorHAnsi" w:hAnsiTheme="minorHAnsi" w:cs="Arial"/>
          <w:szCs w:val="22"/>
        </w:rPr>
        <w:t>s</w:t>
      </w:r>
      <w:r w:rsidR="000E3892">
        <w:rPr>
          <w:rFonts w:asciiTheme="minorHAnsi" w:eastAsiaTheme="minorHAnsi" w:hAnsiTheme="minorHAnsi" w:cs="Arial"/>
          <w:szCs w:val="22"/>
        </w:rPr>
        <w:t xml:space="preserve"> this </w:t>
      </w:r>
      <w:r w:rsidR="003974AF">
        <w:rPr>
          <w:rFonts w:asciiTheme="minorHAnsi" w:eastAsiaTheme="minorHAnsi" w:hAnsiTheme="minorHAnsi" w:cs="Arial"/>
          <w:szCs w:val="22"/>
        </w:rPr>
        <w:t>should be a reasonable reflection</w:t>
      </w:r>
      <w:r w:rsidR="00CB600C">
        <w:rPr>
          <w:rFonts w:asciiTheme="minorHAnsi" w:eastAsiaTheme="minorHAnsi" w:hAnsiTheme="minorHAnsi" w:cs="Arial"/>
          <w:szCs w:val="22"/>
        </w:rPr>
        <w:t xml:space="preserve"> or assumption</w:t>
      </w:r>
      <w:r w:rsidR="003974AF">
        <w:rPr>
          <w:rFonts w:asciiTheme="minorHAnsi" w:eastAsiaTheme="minorHAnsi" w:hAnsiTheme="minorHAnsi" w:cs="Arial"/>
          <w:szCs w:val="22"/>
        </w:rPr>
        <w:t xml:space="preserve"> of the expected client relationship</w:t>
      </w:r>
      <w:r w:rsidR="000E3892">
        <w:rPr>
          <w:rFonts w:asciiTheme="minorHAnsi" w:eastAsiaTheme="minorHAnsi" w:hAnsiTheme="minorHAnsi" w:cs="Arial"/>
          <w:szCs w:val="22"/>
        </w:rPr>
        <w:t xml:space="preserve">, or the period of the </w:t>
      </w:r>
      <w:r w:rsidR="004320D7">
        <w:rPr>
          <w:rFonts w:asciiTheme="minorHAnsi" w:eastAsiaTheme="minorHAnsi" w:hAnsiTheme="minorHAnsi" w:cs="Arial"/>
          <w:szCs w:val="22"/>
        </w:rPr>
        <w:t>E</w:t>
      </w:r>
      <w:r w:rsidR="000E3892">
        <w:rPr>
          <w:rFonts w:asciiTheme="minorHAnsi" w:eastAsiaTheme="minorHAnsi" w:hAnsiTheme="minorHAnsi" w:cs="Arial"/>
          <w:szCs w:val="22"/>
        </w:rPr>
        <w:t>x-</w:t>
      </w:r>
      <w:r w:rsidR="004320D7">
        <w:rPr>
          <w:rFonts w:asciiTheme="minorHAnsi" w:eastAsiaTheme="minorHAnsi" w:hAnsiTheme="minorHAnsi" w:cs="Arial"/>
          <w:szCs w:val="22"/>
        </w:rPr>
        <w:t>A</w:t>
      </w:r>
      <w:r w:rsidR="000E3892">
        <w:rPr>
          <w:rFonts w:asciiTheme="minorHAnsi" w:eastAsiaTheme="minorHAnsi" w:hAnsiTheme="minorHAnsi" w:cs="Arial"/>
          <w:szCs w:val="22"/>
        </w:rPr>
        <w:t>nte estimation</w:t>
      </w:r>
      <w:r w:rsidR="003974AF" w:rsidRPr="00F64D34">
        <w:rPr>
          <w:rFonts w:asciiTheme="minorHAnsi" w:eastAsiaTheme="minorHAnsi" w:hAnsiTheme="minorHAnsi" w:cs="Arial"/>
          <w:b/>
          <w:szCs w:val="22"/>
        </w:rPr>
        <w:t>.</w:t>
      </w:r>
      <w:r w:rsidR="003974AF">
        <w:rPr>
          <w:rFonts w:asciiTheme="minorHAnsi" w:eastAsiaTheme="minorHAnsi" w:hAnsiTheme="minorHAnsi" w:cs="Arial"/>
          <w:b/>
          <w:szCs w:val="22"/>
        </w:rPr>
        <w:t xml:space="preserve">   </w:t>
      </w:r>
      <w:r w:rsidR="00D520E1" w:rsidRPr="007A0545">
        <w:rPr>
          <w:rFonts w:asciiTheme="minorHAnsi" w:eastAsiaTheme="minorHAnsi" w:hAnsiTheme="minorHAnsi" w:cs="Arial"/>
          <w:szCs w:val="22"/>
        </w:rPr>
        <w:t>See a sample disclosure set out below.</w:t>
      </w:r>
    </w:p>
    <w:p w14:paraId="6B6FBC86" w14:textId="62610539" w:rsidR="00A4591F" w:rsidRPr="00F64D34" w:rsidRDefault="00A4591F" w:rsidP="00F64D34">
      <w:pPr>
        <w:spacing w:after="200" w:line="276" w:lineRule="auto"/>
        <w:ind w:left="567"/>
        <w:jc w:val="both"/>
        <w:rPr>
          <w:rFonts w:asciiTheme="minorHAnsi" w:eastAsiaTheme="minorHAnsi" w:hAnsiTheme="minorHAnsi" w:cs="Arial"/>
          <w:b/>
          <w:szCs w:val="22"/>
        </w:rPr>
      </w:pPr>
      <w:r w:rsidRPr="00F64D34">
        <w:rPr>
          <w:rFonts w:asciiTheme="minorHAnsi" w:eastAsiaTheme="minorHAnsi" w:hAnsiTheme="minorHAnsi" w:cs="Arial"/>
          <w:szCs w:val="22"/>
        </w:rPr>
        <w:t xml:space="preserve">When calculating costs on an </w:t>
      </w:r>
      <w:r w:rsidR="00F64D34" w:rsidRPr="00F64D34">
        <w:rPr>
          <w:rFonts w:asciiTheme="minorHAnsi" w:eastAsiaTheme="minorHAnsi" w:hAnsiTheme="minorHAnsi" w:cs="Arial"/>
          <w:szCs w:val="22"/>
        </w:rPr>
        <w:t>E</w:t>
      </w:r>
      <w:r w:rsidRPr="00F64D34">
        <w:rPr>
          <w:rFonts w:asciiTheme="minorHAnsi" w:eastAsiaTheme="minorHAnsi" w:hAnsiTheme="minorHAnsi" w:cs="Arial"/>
          <w:szCs w:val="22"/>
        </w:rPr>
        <w:t>x-</w:t>
      </w:r>
      <w:r w:rsidR="00F64D34" w:rsidRPr="00F64D34">
        <w:rPr>
          <w:rFonts w:asciiTheme="minorHAnsi" w:eastAsiaTheme="minorHAnsi" w:hAnsiTheme="minorHAnsi" w:cs="Arial"/>
          <w:szCs w:val="22"/>
        </w:rPr>
        <w:t>A</w:t>
      </w:r>
      <w:r w:rsidRPr="00F64D34">
        <w:rPr>
          <w:rFonts w:asciiTheme="minorHAnsi" w:eastAsiaTheme="minorHAnsi" w:hAnsiTheme="minorHAnsi" w:cs="Arial"/>
          <w:szCs w:val="22"/>
        </w:rPr>
        <w:t>nte basis, investment firms shall use actually incurred costs as a proxy for the expected costs and charges (for example, in a model portfolio situation).  Where actual costs are not available, the investment firm shall make reasonable estimations of these costs.  (</w:t>
      </w:r>
      <w:r w:rsidR="00C30F8C">
        <w:rPr>
          <w:rFonts w:asciiTheme="minorHAnsi" w:eastAsiaTheme="minorHAnsi" w:hAnsiTheme="minorHAnsi" w:cs="Arial"/>
          <w:szCs w:val="22"/>
        </w:rPr>
        <w:t xml:space="preserve">TISA </w:t>
      </w:r>
      <w:r w:rsidRPr="00F64D34">
        <w:rPr>
          <w:rFonts w:asciiTheme="minorHAnsi" w:eastAsiaTheme="minorHAnsi" w:hAnsiTheme="minorHAnsi" w:cs="Arial"/>
          <w:szCs w:val="22"/>
        </w:rPr>
        <w:t>suggest</w:t>
      </w:r>
      <w:r w:rsidR="00C30F8C">
        <w:rPr>
          <w:rFonts w:asciiTheme="minorHAnsi" w:eastAsiaTheme="minorHAnsi" w:hAnsiTheme="minorHAnsi" w:cs="Arial"/>
          <w:szCs w:val="22"/>
        </w:rPr>
        <w:t>s</w:t>
      </w:r>
      <w:r w:rsidRPr="00F64D34">
        <w:rPr>
          <w:rFonts w:asciiTheme="minorHAnsi" w:eastAsiaTheme="minorHAnsi" w:hAnsiTheme="minorHAnsi" w:cs="Arial"/>
          <w:szCs w:val="22"/>
        </w:rPr>
        <w:t xml:space="preserve"> for example, that in some circumstances it might be reasonable for the </w:t>
      </w:r>
      <w:r w:rsidR="00F64D34" w:rsidRPr="00F64D34">
        <w:rPr>
          <w:rFonts w:asciiTheme="minorHAnsi" w:eastAsiaTheme="minorHAnsi" w:hAnsiTheme="minorHAnsi" w:cs="Arial"/>
          <w:szCs w:val="22"/>
        </w:rPr>
        <w:t>E</w:t>
      </w:r>
      <w:r w:rsidRPr="00F64D34">
        <w:rPr>
          <w:rFonts w:asciiTheme="minorHAnsi" w:eastAsiaTheme="minorHAnsi" w:hAnsiTheme="minorHAnsi" w:cs="Arial"/>
          <w:szCs w:val="22"/>
        </w:rPr>
        <w:t>x-</w:t>
      </w:r>
      <w:r w:rsidR="00F64D34" w:rsidRPr="00F64D34">
        <w:rPr>
          <w:rFonts w:asciiTheme="minorHAnsi" w:eastAsiaTheme="minorHAnsi" w:hAnsiTheme="minorHAnsi" w:cs="Arial"/>
          <w:szCs w:val="22"/>
        </w:rPr>
        <w:t>A</w:t>
      </w:r>
      <w:r w:rsidRPr="00F64D34">
        <w:rPr>
          <w:rFonts w:asciiTheme="minorHAnsi" w:eastAsiaTheme="minorHAnsi" w:hAnsiTheme="minorHAnsi" w:cs="Arial"/>
          <w:szCs w:val="22"/>
        </w:rPr>
        <w:t xml:space="preserve">nte disclosure to be based on actual </w:t>
      </w:r>
      <w:r w:rsidR="00F64D34">
        <w:rPr>
          <w:rFonts w:asciiTheme="minorHAnsi" w:eastAsiaTheme="minorHAnsi" w:hAnsiTheme="minorHAnsi" w:cs="Arial"/>
          <w:szCs w:val="22"/>
        </w:rPr>
        <w:t>E</w:t>
      </w:r>
      <w:r w:rsidRPr="00F64D34">
        <w:rPr>
          <w:rFonts w:asciiTheme="minorHAnsi" w:eastAsiaTheme="minorHAnsi" w:hAnsiTheme="minorHAnsi" w:cs="Arial"/>
          <w:szCs w:val="22"/>
        </w:rPr>
        <w:t>x-</w:t>
      </w:r>
      <w:r w:rsidR="00F64D34">
        <w:rPr>
          <w:rFonts w:asciiTheme="minorHAnsi" w:eastAsiaTheme="minorHAnsi" w:hAnsiTheme="minorHAnsi" w:cs="Arial"/>
          <w:szCs w:val="22"/>
        </w:rPr>
        <w:t>P</w:t>
      </w:r>
      <w:r w:rsidRPr="00F64D34">
        <w:rPr>
          <w:rFonts w:asciiTheme="minorHAnsi" w:eastAsiaTheme="minorHAnsi" w:hAnsiTheme="minorHAnsi" w:cs="Arial"/>
          <w:szCs w:val="22"/>
        </w:rPr>
        <w:t xml:space="preserve">ost amounts incurred for a similar portfolio run for another client.  Again this will be up to the firm to use their </w:t>
      </w:r>
      <w:r w:rsidR="00ED558E" w:rsidRPr="00F64D34">
        <w:rPr>
          <w:rFonts w:asciiTheme="minorHAnsi" w:eastAsiaTheme="minorHAnsi" w:hAnsiTheme="minorHAnsi" w:cs="Arial"/>
          <w:szCs w:val="22"/>
        </w:rPr>
        <w:t>judgment</w:t>
      </w:r>
      <w:r w:rsidRPr="00F64D34">
        <w:rPr>
          <w:rFonts w:asciiTheme="minorHAnsi" w:eastAsiaTheme="minorHAnsi" w:hAnsiTheme="minorHAnsi" w:cs="Arial"/>
          <w:szCs w:val="22"/>
        </w:rPr>
        <w:t xml:space="preserve"> on </w:t>
      </w:r>
      <w:r w:rsidRPr="00F64D34">
        <w:rPr>
          <w:rFonts w:asciiTheme="minorHAnsi" w:eastAsiaTheme="minorHAnsi" w:hAnsiTheme="minorHAnsi" w:cs="Arial"/>
          <w:szCs w:val="22"/>
        </w:rPr>
        <w:lastRenderedPageBreak/>
        <w:t>whether the portfolio has similar enough investment strategy, asset classes, parameters etc. to deem it a reasonable estimate.)</w:t>
      </w:r>
    </w:p>
    <w:p w14:paraId="38A05F9C" w14:textId="3F124475" w:rsidR="00A4591F" w:rsidRPr="00F64D34" w:rsidRDefault="00A4591F" w:rsidP="00F64D34">
      <w:pPr>
        <w:spacing w:after="200" w:line="276" w:lineRule="auto"/>
        <w:ind w:left="567"/>
        <w:jc w:val="both"/>
        <w:rPr>
          <w:rFonts w:asciiTheme="minorHAnsi" w:eastAsiaTheme="minorHAnsi" w:hAnsiTheme="minorHAnsi" w:cs="Arial"/>
          <w:szCs w:val="22"/>
        </w:rPr>
      </w:pPr>
      <w:r w:rsidRPr="00F64D34">
        <w:rPr>
          <w:rFonts w:asciiTheme="minorHAnsi" w:eastAsiaTheme="minorHAnsi" w:hAnsiTheme="minorHAnsi" w:cs="Arial"/>
          <w:szCs w:val="22"/>
        </w:rPr>
        <w:t xml:space="preserve">Investment firms </w:t>
      </w:r>
      <w:r w:rsidR="00C30F8C">
        <w:rPr>
          <w:rFonts w:asciiTheme="minorHAnsi" w:eastAsiaTheme="minorHAnsi" w:hAnsiTheme="minorHAnsi" w:cs="Arial"/>
          <w:szCs w:val="22"/>
        </w:rPr>
        <w:t>should</w:t>
      </w:r>
      <w:r w:rsidRPr="00F64D34">
        <w:rPr>
          <w:rFonts w:asciiTheme="minorHAnsi" w:eastAsiaTheme="minorHAnsi" w:hAnsiTheme="minorHAnsi" w:cs="Arial"/>
          <w:szCs w:val="22"/>
        </w:rPr>
        <w:t xml:space="preserve"> review </w:t>
      </w:r>
      <w:r w:rsidR="00F64D34" w:rsidRPr="00F64D34">
        <w:rPr>
          <w:rFonts w:asciiTheme="minorHAnsi" w:eastAsiaTheme="minorHAnsi" w:hAnsiTheme="minorHAnsi" w:cs="Arial"/>
          <w:szCs w:val="22"/>
        </w:rPr>
        <w:t>E</w:t>
      </w:r>
      <w:r w:rsidRPr="00F64D34">
        <w:rPr>
          <w:rFonts w:asciiTheme="minorHAnsi" w:eastAsiaTheme="minorHAnsi" w:hAnsiTheme="minorHAnsi" w:cs="Arial"/>
          <w:szCs w:val="22"/>
        </w:rPr>
        <w:t>x-</w:t>
      </w:r>
      <w:r w:rsidR="00F64D34" w:rsidRPr="00F64D34">
        <w:rPr>
          <w:rFonts w:asciiTheme="minorHAnsi" w:eastAsiaTheme="minorHAnsi" w:hAnsiTheme="minorHAnsi" w:cs="Arial"/>
          <w:szCs w:val="22"/>
        </w:rPr>
        <w:t>A</w:t>
      </w:r>
      <w:r w:rsidRPr="00F64D34">
        <w:rPr>
          <w:rFonts w:asciiTheme="minorHAnsi" w:eastAsiaTheme="minorHAnsi" w:hAnsiTheme="minorHAnsi" w:cs="Arial"/>
          <w:szCs w:val="22"/>
        </w:rPr>
        <w:t xml:space="preserve">nte assumptions based on the </w:t>
      </w:r>
      <w:r w:rsidR="00F64D34" w:rsidRPr="00F64D34">
        <w:rPr>
          <w:rFonts w:asciiTheme="minorHAnsi" w:eastAsiaTheme="minorHAnsi" w:hAnsiTheme="minorHAnsi" w:cs="Arial"/>
          <w:szCs w:val="22"/>
        </w:rPr>
        <w:t>E</w:t>
      </w:r>
      <w:r w:rsidRPr="00F64D34">
        <w:rPr>
          <w:rFonts w:asciiTheme="minorHAnsi" w:eastAsiaTheme="minorHAnsi" w:hAnsiTheme="minorHAnsi" w:cs="Arial"/>
          <w:szCs w:val="22"/>
        </w:rPr>
        <w:t>x-</w:t>
      </w:r>
      <w:r w:rsidR="00F64D34" w:rsidRPr="00F64D34">
        <w:rPr>
          <w:rFonts w:asciiTheme="minorHAnsi" w:eastAsiaTheme="minorHAnsi" w:hAnsiTheme="minorHAnsi" w:cs="Arial"/>
          <w:szCs w:val="22"/>
        </w:rPr>
        <w:t>P</w:t>
      </w:r>
      <w:r w:rsidRPr="00F64D34">
        <w:rPr>
          <w:rFonts w:asciiTheme="minorHAnsi" w:eastAsiaTheme="minorHAnsi" w:hAnsiTheme="minorHAnsi" w:cs="Arial"/>
          <w:szCs w:val="22"/>
        </w:rPr>
        <w:t>ost experience and make adjustments to these assumptions where necessary.</w:t>
      </w:r>
    </w:p>
    <w:p w14:paraId="10EABF4B" w14:textId="00C7B4EC" w:rsidR="00371A2E" w:rsidRPr="007D53AC" w:rsidRDefault="00371A2E" w:rsidP="007D53AC">
      <w:pPr>
        <w:pStyle w:val="Heading2"/>
        <w:spacing w:line="276" w:lineRule="auto"/>
        <w:rPr>
          <w:rFonts w:asciiTheme="minorHAnsi" w:hAnsiTheme="minorHAnsi" w:cs="Segoe UI"/>
          <w:sz w:val="22"/>
          <w:szCs w:val="22"/>
          <w:lang w:val="fr-CA"/>
        </w:rPr>
      </w:pPr>
      <w:bookmarkStart w:id="365" w:name="_Toc364343142"/>
      <w:bookmarkStart w:id="366" w:name="_Toc364343329"/>
      <w:bookmarkStart w:id="367" w:name="_Toc364343688"/>
      <w:bookmarkStart w:id="368" w:name="_Toc364635753"/>
      <w:bookmarkStart w:id="369" w:name="_Toc364636145"/>
      <w:bookmarkStart w:id="370" w:name="_Toc364636581"/>
      <w:bookmarkStart w:id="371" w:name="_Toc366502079"/>
      <w:bookmarkStart w:id="372" w:name="_Toc369907858"/>
      <w:bookmarkStart w:id="373" w:name="_Toc370052376"/>
      <w:bookmarkStart w:id="374" w:name="_Toc372234524"/>
      <w:bookmarkStart w:id="375" w:name="_Toc395871052"/>
      <w:bookmarkStart w:id="376" w:name="_Toc409468219"/>
      <w:r w:rsidRPr="007D53AC">
        <w:rPr>
          <w:rFonts w:asciiTheme="minorHAnsi" w:hAnsiTheme="minorHAnsi" w:cs="Segoe UI"/>
          <w:sz w:val="22"/>
          <w:szCs w:val="22"/>
          <w:lang w:val="fr-CA"/>
        </w:rPr>
        <w:t>Example Ex-Ante DPM Template</w:t>
      </w:r>
      <w:bookmarkEnd w:id="365"/>
      <w:bookmarkEnd w:id="366"/>
      <w:bookmarkEnd w:id="367"/>
      <w:bookmarkEnd w:id="368"/>
      <w:bookmarkEnd w:id="369"/>
      <w:bookmarkEnd w:id="370"/>
      <w:bookmarkEnd w:id="371"/>
      <w:bookmarkEnd w:id="372"/>
      <w:bookmarkEnd w:id="373"/>
      <w:bookmarkEnd w:id="374"/>
      <w:bookmarkEnd w:id="375"/>
      <w:bookmarkEnd w:id="376"/>
    </w:p>
    <w:p w14:paraId="18B96A47" w14:textId="77777777" w:rsidR="00371A2E" w:rsidRPr="00F64D34" w:rsidRDefault="00371A2E" w:rsidP="007D53AC">
      <w:pPr>
        <w:spacing w:line="276" w:lineRule="auto"/>
        <w:rPr>
          <w:szCs w:val="22"/>
          <w:lang w:val="fr-CA"/>
        </w:rPr>
      </w:pPr>
    </w:p>
    <w:p w14:paraId="571C676B" w14:textId="5B0B6BEA" w:rsidR="004D5BC2" w:rsidRPr="00F64D34" w:rsidRDefault="00F64D34" w:rsidP="00F64D34">
      <w:pPr>
        <w:spacing w:line="276" w:lineRule="auto"/>
        <w:rPr>
          <w:rFonts w:asciiTheme="minorHAnsi" w:eastAsiaTheme="minorHAnsi" w:hAnsiTheme="minorHAnsi" w:cs="Arial"/>
          <w:szCs w:val="22"/>
        </w:rPr>
      </w:pPr>
      <w:bookmarkStart w:id="377" w:name="_Toc364343143"/>
      <w:r>
        <w:rPr>
          <w:rFonts w:asciiTheme="minorHAnsi" w:eastAsiaTheme="minorHAnsi" w:hAnsiTheme="minorHAnsi" w:cs="Arial"/>
          <w:szCs w:val="22"/>
        </w:rPr>
        <w:t>Whilst the regulators have not defined the layouts</w:t>
      </w:r>
      <w:r w:rsidR="00044DC7">
        <w:rPr>
          <w:rFonts w:asciiTheme="minorHAnsi" w:eastAsiaTheme="minorHAnsi" w:hAnsiTheme="minorHAnsi" w:cs="Arial"/>
          <w:szCs w:val="22"/>
        </w:rPr>
        <w:t xml:space="preserve"> for the cost and charges disclosers, </w:t>
      </w:r>
      <w:r w:rsidR="004D5BC2" w:rsidRPr="00F64D34">
        <w:rPr>
          <w:rFonts w:asciiTheme="minorHAnsi" w:eastAsiaTheme="minorHAnsi" w:hAnsiTheme="minorHAnsi" w:cs="Arial"/>
          <w:szCs w:val="22"/>
        </w:rPr>
        <w:t>below</w:t>
      </w:r>
      <w:r w:rsidR="00A4591F" w:rsidRPr="00F64D34">
        <w:rPr>
          <w:rFonts w:asciiTheme="minorHAnsi" w:eastAsiaTheme="minorHAnsi" w:hAnsiTheme="minorHAnsi" w:cs="Arial"/>
          <w:szCs w:val="22"/>
        </w:rPr>
        <w:t xml:space="preserve"> </w:t>
      </w:r>
      <w:r w:rsidR="00044DC7">
        <w:rPr>
          <w:rFonts w:asciiTheme="minorHAnsi" w:eastAsiaTheme="minorHAnsi" w:hAnsiTheme="minorHAnsi" w:cs="Arial"/>
          <w:szCs w:val="22"/>
        </w:rPr>
        <w:t>is</w:t>
      </w:r>
      <w:r w:rsidR="00044DC7" w:rsidRPr="00F64D34">
        <w:rPr>
          <w:rFonts w:asciiTheme="minorHAnsi" w:eastAsiaTheme="minorHAnsi" w:hAnsiTheme="minorHAnsi" w:cs="Arial"/>
          <w:szCs w:val="22"/>
        </w:rPr>
        <w:t xml:space="preserve"> </w:t>
      </w:r>
      <w:r w:rsidR="00A4591F" w:rsidRPr="00F64D34">
        <w:rPr>
          <w:rFonts w:asciiTheme="minorHAnsi" w:eastAsiaTheme="minorHAnsi" w:hAnsiTheme="minorHAnsi" w:cs="Arial"/>
          <w:szCs w:val="22"/>
        </w:rPr>
        <w:t xml:space="preserve">a </w:t>
      </w:r>
      <w:r w:rsidR="00044DC7">
        <w:rPr>
          <w:rFonts w:asciiTheme="minorHAnsi" w:eastAsiaTheme="minorHAnsi" w:hAnsiTheme="minorHAnsi" w:cs="Arial"/>
          <w:szCs w:val="22"/>
        </w:rPr>
        <w:t>sample</w:t>
      </w:r>
      <w:r w:rsidR="00044DC7" w:rsidRPr="00F64D34">
        <w:rPr>
          <w:rFonts w:asciiTheme="minorHAnsi" w:eastAsiaTheme="minorHAnsi" w:hAnsiTheme="minorHAnsi" w:cs="Arial"/>
          <w:szCs w:val="22"/>
        </w:rPr>
        <w:t xml:space="preserve"> </w:t>
      </w:r>
      <w:r w:rsidR="00A4591F" w:rsidRPr="00F64D34">
        <w:rPr>
          <w:rFonts w:asciiTheme="minorHAnsi" w:eastAsiaTheme="minorHAnsi" w:hAnsiTheme="minorHAnsi" w:cs="Arial"/>
          <w:szCs w:val="22"/>
        </w:rPr>
        <w:t>template for an Ex-Ante DPM disclosure</w:t>
      </w:r>
      <w:r w:rsidR="004D5BC2" w:rsidRPr="00F64D34">
        <w:rPr>
          <w:rFonts w:asciiTheme="minorHAnsi" w:eastAsiaTheme="minorHAnsi" w:hAnsiTheme="minorHAnsi" w:cs="Arial"/>
          <w:szCs w:val="22"/>
        </w:rPr>
        <w:t xml:space="preserve">.  </w:t>
      </w:r>
      <w:r w:rsidR="00044DC7">
        <w:rPr>
          <w:rFonts w:asciiTheme="minorHAnsi" w:eastAsiaTheme="minorHAnsi" w:hAnsiTheme="minorHAnsi" w:cs="Arial"/>
          <w:szCs w:val="22"/>
        </w:rPr>
        <w:t>This</w:t>
      </w:r>
      <w:r w:rsidR="004D5BC2" w:rsidRPr="00F64D34">
        <w:rPr>
          <w:rFonts w:asciiTheme="minorHAnsi" w:eastAsiaTheme="minorHAnsi" w:hAnsiTheme="minorHAnsi" w:cs="Arial"/>
          <w:szCs w:val="22"/>
        </w:rPr>
        <w:t xml:space="preserve"> template is illustrative rather than prescriptive.   This template is meant as a guide only, but should provide a good starting point for complying with the Ex-Ante requirements. This template can be rendered on web pages, emailed, hyperlinked as .pdf documents, and/or provided in hard copy format.</w:t>
      </w:r>
      <w:bookmarkEnd w:id="377"/>
      <w:r w:rsidR="004D5BC2" w:rsidRPr="00F64D34">
        <w:rPr>
          <w:rFonts w:asciiTheme="minorHAnsi" w:eastAsiaTheme="minorHAnsi" w:hAnsiTheme="minorHAnsi" w:cs="Arial"/>
          <w:szCs w:val="22"/>
        </w:rPr>
        <w:t xml:space="preserve">  </w:t>
      </w:r>
    </w:p>
    <w:p w14:paraId="0158E9C8" w14:textId="39AF5352" w:rsidR="00123436" w:rsidRDefault="00975E82" w:rsidP="000D06F2">
      <w:pPr>
        <w:pStyle w:val="NoSpacing"/>
        <w:tabs>
          <w:tab w:val="left" w:pos="3773"/>
        </w:tabs>
      </w:pPr>
      <w:r w:rsidRPr="00331B33">
        <w:rPr>
          <w:b/>
          <w:color w:val="auto"/>
          <w:szCs w:val="20"/>
        </w:rPr>
        <w:tab/>
      </w:r>
      <w:r w:rsidRPr="00E760C2">
        <w:rPr>
          <w:b/>
          <w:color w:val="FF0000"/>
          <w:szCs w:val="20"/>
          <w:u w:val="single"/>
        </w:rPr>
        <w:br/>
      </w:r>
      <w:r w:rsidR="00123436">
        <w:br w:type="page"/>
      </w:r>
    </w:p>
    <w:p w14:paraId="0870A993" w14:textId="77777777" w:rsidR="00395C8B" w:rsidRPr="007F3576" w:rsidRDefault="00395C8B" w:rsidP="00395C8B">
      <w:pPr>
        <w:spacing w:after="160" w:line="259" w:lineRule="auto"/>
        <w:ind w:left="0"/>
        <w:rPr>
          <w:rFonts w:eastAsia="Cambria"/>
          <w:b/>
          <w:color w:val="FF0000"/>
          <w:sz w:val="24"/>
          <w:szCs w:val="24"/>
          <w:u w:val="single"/>
          <w:lang w:val="en-GB"/>
        </w:rPr>
      </w:pPr>
      <w:r w:rsidRPr="007F3576">
        <w:rPr>
          <w:rFonts w:eastAsia="Cambria"/>
          <w:b/>
          <w:color w:val="FF0000"/>
          <w:sz w:val="24"/>
          <w:szCs w:val="24"/>
          <w:u w:val="single"/>
          <w:lang w:val="en-GB"/>
        </w:rPr>
        <w:lastRenderedPageBreak/>
        <w:t>Disclaimer: this data / these figures are not representative of any portfolio manager and are solely for illustration purposes</w:t>
      </w:r>
    </w:p>
    <w:p w14:paraId="65261C94" w14:textId="77777777" w:rsidR="00395C8B" w:rsidRPr="007F3576" w:rsidRDefault="00395C8B" w:rsidP="00395C8B">
      <w:pPr>
        <w:spacing w:after="160" w:line="259" w:lineRule="auto"/>
        <w:ind w:left="0"/>
        <w:rPr>
          <w:rFonts w:eastAsia="Cambria"/>
          <w:b/>
          <w:color w:val="000000" w:themeColor="text1"/>
          <w:sz w:val="28"/>
          <w:szCs w:val="22"/>
          <w:u w:val="single"/>
          <w:lang w:val="en-GB"/>
        </w:rPr>
      </w:pPr>
      <w:r w:rsidRPr="00EC5EBD">
        <w:rPr>
          <w:rFonts w:asciiTheme="minorHAnsi" w:eastAsia="Cambria" w:hAnsiTheme="minorHAnsi"/>
          <w:b/>
          <w:color w:val="000000" w:themeColor="text1"/>
          <w:sz w:val="24"/>
          <w:szCs w:val="24"/>
          <w:u w:val="single"/>
          <w:lang w:val="en-GB"/>
        </w:rPr>
        <w:t>Ex-Ante Costs and Charges Disclosure for Discretionary Portfolio</w:t>
      </w:r>
      <w:r w:rsidRPr="007F3576">
        <w:rPr>
          <w:rFonts w:eastAsia="Cambria"/>
          <w:b/>
          <w:color w:val="000000" w:themeColor="text1"/>
          <w:sz w:val="28"/>
          <w:szCs w:val="22"/>
          <w:u w:val="single"/>
          <w:lang w:val="en-GB"/>
        </w:rPr>
        <w:t>:</w:t>
      </w:r>
    </w:p>
    <w:p w14:paraId="0223521B" w14:textId="77777777" w:rsidR="00395C8B" w:rsidRPr="00EC5EBD" w:rsidRDefault="00395C8B" w:rsidP="00395C8B">
      <w:pPr>
        <w:spacing w:after="160" w:line="259" w:lineRule="auto"/>
        <w:ind w:left="0"/>
        <w:rPr>
          <w:rFonts w:asciiTheme="minorHAnsi" w:eastAsia="Cambria" w:hAnsiTheme="minorHAnsi"/>
          <w:b/>
          <w:iCs/>
          <w:color w:val="000000" w:themeColor="text1"/>
          <w:szCs w:val="22"/>
          <w:u w:val="single"/>
          <w:lang w:val="en-GB"/>
        </w:rPr>
      </w:pPr>
      <w:r w:rsidRPr="007F3576">
        <w:rPr>
          <w:rFonts w:eastAsia="Cambria"/>
          <w:b/>
          <w:iCs/>
          <w:color w:val="000000" w:themeColor="text1"/>
          <w:szCs w:val="22"/>
          <w:u w:val="single"/>
          <w:lang w:val="en-GB"/>
        </w:rPr>
        <w:br/>
      </w:r>
      <w:r w:rsidRPr="00EC5EBD">
        <w:rPr>
          <w:rFonts w:asciiTheme="minorHAnsi" w:eastAsia="Cambria" w:hAnsiTheme="minorHAnsi"/>
          <w:b/>
          <w:iCs/>
          <w:color w:val="000000" w:themeColor="text1"/>
          <w:szCs w:val="22"/>
          <w:u w:val="single"/>
          <w:lang w:val="en-GB"/>
        </w:rPr>
        <w:t>MiFID II Costs and Charges Information</w:t>
      </w:r>
    </w:p>
    <w:p w14:paraId="20117E59" w14:textId="77777777" w:rsidR="00395C8B" w:rsidRPr="00EC5EBD" w:rsidRDefault="00395C8B" w:rsidP="00894AA2">
      <w:pPr>
        <w:spacing w:after="160" w:line="259" w:lineRule="auto"/>
        <w:ind w:left="0"/>
        <w:jc w:val="both"/>
        <w:rPr>
          <w:rFonts w:asciiTheme="minorHAnsi" w:eastAsia="Cambria" w:hAnsiTheme="minorHAnsi"/>
          <w:i/>
          <w:iCs/>
          <w:color w:val="000000" w:themeColor="text1"/>
          <w:szCs w:val="22"/>
          <w:lang w:val="en-GB"/>
        </w:rPr>
      </w:pPr>
      <w:r w:rsidRPr="00EC5EBD">
        <w:rPr>
          <w:rFonts w:asciiTheme="minorHAnsi" w:eastAsia="Cambria" w:hAnsiTheme="minorHAnsi"/>
          <w:i/>
          <w:iCs/>
          <w:color w:val="000000" w:themeColor="text1"/>
          <w:szCs w:val="22"/>
          <w:lang w:val="en-GB"/>
        </w:rPr>
        <w:t>This document provides with you with expected costs and charges information about the proposed mandate.  It is not marketing material.  This information is required by law and you are advised to read it so you can make an informed decision about whether to invest.</w:t>
      </w:r>
    </w:p>
    <w:p w14:paraId="52E53632" w14:textId="34D9440A" w:rsidR="000B7DA4" w:rsidRPr="000B7DA4" w:rsidRDefault="00395C8B" w:rsidP="00894AA2">
      <w:pPr>
        <w:jc w:val="both"/>
        <w:rPr>
          <w:rFonts w:asciiTheme="minorHAnsi" w:eastAsia="Cambria" w:hAnsiTheme="minorHAnsi"/>
          <w:i/>
          <w:iCs/>
          <w:color w:val="000000" w:themeColor="text1"/>
          <w:szCs w:val="22"/>
          <w:lang w:val="en-GB"/>
        </w:rPr>
      </w:pPr>
      <w:r w:rsidRPr="00EC5EBD">
        <w:rPr>
          <w:rFonts w:asciiTheme="minorHAnsi" w:eastAsia="Cambria" w:hAnsiTheme="minorHAnsi"/>
          <w:i/>
          <w:iCs/>
          <w:color w:val="000000" w:themeColor="text1"/>
          <w:szCs w:val="22"/>
          <w:lang w:val="en-GB"/>
        </w:rPr>
        <w:br/>
        <w:t>Where possible, ABCXYZ Investments have used actually incurred costs as a proxy for the expected costs and charges.  Where actual costs are not available, ABCXYZ Investments have made reasonable estimations of these costs.  Charges may vary from year to year.</w:t>
      </w:r>
      <w:r w:rsidR="000B7DA4">
        <w:rPr>
          <w:rFonts w:asciiTheme="minorHAnsi" w:eastAsia="Cambria" w:hAnsiTheme="minorHAnsi"/>
          <w:i/>
          <w:iCs/>
          <w:color w:val="000000" w:themeColor="text1"/>
          <w:szCs w:val="22"/>
          <w:lang w:val="en-GB"/>
        </w:rPr>
        <w:t xml:space="preserve">  </w:t>
      </w:r>
      <w:r w:rsidR="000B7DA4" w:rsidRPr="000B7DA4">
        <w:rPr>
          <w:rFonts w:asciiTheme="minorHAnsi" w:eastAsia="Cambria" w:hAnsiTheme="minorHAnsi"/>
          <w:i/>
          <w:iCs/>
          <w:color w:val="000000" w:themeColor="text1"/>
          <w:szCs w:val="22"/>
          <w:lang w:val="en-GB"/>
        </w:rPr>
        <w:t>[These are example disclaimers - firms themselves should consider relevant disclaimers]</w:t>
      </w:r>
    </w:p>
    <w:p w14:paraId="5A28DA13" w14:textId="311377BC" w:rsidR="00395C8B" w:rsidRDefault="00395C8B" w:rsidP="00894AA2">
      <w:pPr>
        <w:spacing w:after="160" w:line="259" w:lineRule="auto"/>
        <w:ind w:left="0"/>
        <w:jc w:val="both"/>
        <w:rPr>
          <w:rFonts w:asciiTheme="minorHAnsi" w:eastAsia="Cambria" w:hAnsiTheme="minorHAnsi"/>
          <w:i/>
          <w:iCs/>
          <w:color w:val="000000" w:themeColor="text1"/>
          <w:szCs w:val="22"/>
          <w:lang w:val="en-GB"/>
        </w:rPr>
      </w:pPr>
    </w:p>
    <w:p w14:paraId="5A3131C7" w14:textId="2C4F746A" w:rsidR="00FF0D8A" w:rsidRPr="000B7DA4" w:rsidRDefault="00FF0D8A" w:rsidP="00894AA2">
      <w:pPr>
        <w:spacing w:after="160" w:line="259" w:lineRule="auto"/>
        <w:ind w:left="0"/>
        <w:jc w:val="both"/>
        <w:rPr>
          <w:rFonts w:asciiTheme="minorHAnsi" w:eastAsia="Cambria" w:hAnsiTheme="minorHAnsi"/>
          <w:i/>
          <w:iCs/>
          <w:color w:val="000000" w:themeColor="text1"/>
          <w:szCs w:val="22"/>
          <w:lang w:val="en-GB"/>
        </w:rPr>
      </w:pPr>
      <w:r w:rsidRPr="00EC5EBD">
        <w:rPr>
          <w:rFonts w:asciiTheme="minorHAnsi" w:eastAsia="Cambria" w:hAnsiTheme="minorHAnsi"/>
          <w:i/>
          <w:color w:val="000000" w:themeColor="text1"/>
          <w:szCs w:val="22"/>
          <w:lang w:val="en-GB"/>
        </w:rPr>
        <w:t xml:space="preserve">The examples below are based on a client investing £500,000,000 through an investment management agreement (IMA) for ABCXYZ investments to manage the total investment amount on behalf of the client. The total charges deducted will have an impact on the investment return you might get.  </w:t>
      </w:r>
    </w:p>
    <w:p w14:paraId="52779E62" w14:textId="77777777" w:rsidR="00524858" w:rsidRDefault="000B7DA4" w:rsidP="00395C8B">
      <w:pPr>
        <w:spacing w:after="160" w:line="259" w:lineRule="auto"/>
        <w:ind w:left="0"/>
        <w:rPr>
          <w:rFonts w:eastAsia="Cambria"/>
          <w:b/>
          <w:iCs/>
          <w:color w:val="FF0000"/>
          <w:sz w:val="20"/>
          <w:szCs w:val="16"/>
          <w:u w:val="single"/>
          <w:lang w:val="en-GB"/>
        </w:rPr>
      </w:pPr>
      <w:r>
        <w:rPr>
          <w:rFonts w:eastAsia="Cambria"/>
          <w:b/>
          <w:i/>
          <w:iCs/>
          <w:color w:val="FF0000"/>
          <w:sz w:val="16"/>
          <w:szCs w:val="16"/>
          <w:u w:val="single"/>
          <w:lang w:val="en-GB"/>
        </w:rPr>
        <w:br/>
      </w:r>
      <w:r w:rsidR="00395C8B" w:rsidRPr="00F85F30">
        <w:rPr>
          <w:rFonts w:eastAsia="Cambria"/>
          <w:b/>
          <w:iCs/>
          <w:color w:val="FF0000"/>
          <w:sz w:val="20"/>
          <w:szCs w:val="16"/>
          <w:u w:val="single"/>
          <w:lang w:val="en-GB"/>
        </w:rPr>
        <w:t xml:space="preserve"> </w:t>
      </w:r>
      <w:r w:rsidR="00F85F30" w:rsidRPr="00F85F30">
        <w:rPr>
          <w:rFonts w:eastAsia="Cambria"/>
          <w:b/>
          <w:iCs/>
          <w:color w:val="FF0000"/>
          <w:sz w:val="20"/>
          <w:szCs w:val="16"/>
          <w:u w:val="single"/>
          <w:lang w:val="en-GB"/>
        </w:rPr>
        <w:t>Costs and Charges Summary</w:t>
      </w:r>
      <w:r w:rsidR="00524858">
        <w:rPr>
          <w:rFonts w:eastAsia="Cambria"/>
          <w:b/>
          <w:iCs/>
          <w:color w:val="FF0000"/>
          <w:sz w:val="20"/>
          <w:szCs w:val="16"/>
          <w:u w:val="single"/>
          <w:lang w:val="en-GB"/>
        </w:rPr>
        <w:br/>
      </w:r>
    </w:p>
    <w:p w14:paraId="713C8F5D" w14:textId="5203E4A6" w:rsidR="00395C8B" w:rsidRPr="00F85F30" w:rsidRDefault="00524858" w:rsidP="00395C8B">
      <w:pPr>
        <w:spacing w:after="160" w:line="259" w:lineRule="auto"/>
        <w:ind w:left="0"/>
        <w:rPr>
          <w:rFonts w:eastAsia="Cambria"/>
          <w:b/>
          <w:iCs/>
          <w:color w:val="FF0000"/>
          <w:sz w:val="20"/>
          <w:szCs w:val="16"/>
          <w:u w:val="single"/>
          <w:lang w:val="en-GB"/>
        </w:rPr>
      </w:pPr>
      <w:r w:rsidRPr="00E4000D">
        <w:rPr>
          <w:rFonts w:eastAsia="Cambria"/>
          <w:b/>
          <w:i/>
          <w:iCs/>
          <w:noProof/>
          <w:color w:val="FF0000"/>
          <w:sz w:val="16"/>
          <w:szCs w:val="16"/>
          <w:u w:val="single"/>
        </w:rPr>
        <w:drawing>
          <wp:inline distT="0" distB="0" distL="0" distR="0" wp14:anchorId="6345A618" wp14:editId="0201C655">
            <wp:extent cx="4469634" cy="20471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9765" cy="204723"/>
                    </a:xfrm>
                    <a:prstGeom prst="rect">
                      <a:avLst/>
                    </a:prstGeom>
                    <a:noFill/>
                    <a:ln>
                      <a:noFill/>
                    </a:ln>
                  </pic:spPr>
                </pic:pic>
              </a:graphicData>
            </a:graphic>
          </wp:inline>
        </w:drawing>
      </w:r>
    </w:p>
    <w:p w14:paraId="3B54D9FF" w14:textId="4E92A521" w:rsidR="00395C8B" w:rsidRPr="00395C8B" w:rsidRDefault="00671140" w:rsidP="00395C8B">
      <w:pPr>
        <w:spacing w:after="160" w:line="259" w:lineRule="auto"/>
        <w:ind w:left="0"/>
        <w:rPr>
          <w:rFonts w:eastAsia="Cambria"/>
          <w:b/>
          <w:color w:val="FF0000"/>
          <w:sz w:val="16"/>
          <w:szCs w:val="16"/>
          <w:u w:val="single"/>
          <w:lang w:val="en-GB"/>
        </w:rPr>
      </w:pPr>
      <w:r w:rsidRPr="006757FC">
        <w:rPr>
          <w:b/>
          <w:i/>
          <w:noProof/>
          <w:sz w:val="16"/>
          <w:szCs w:val="16"/>
          <w:highlight w:val="yellow"/>
          <w:u w:val="single"/>
        </w:rPr>
        <mc:AlternateContent>
          <mc:Choice Requires="wps">
            <w:drawing>
              <wp:anchor distT="0" distB="0" distL="114300" distR="114300" simplePos="0" relativeHeight="251676672" behindDoc="0" locked="0" layoutInCell="1" allowOverlap="1" wp14:anchorId="7204D7EB" wp14:editId="7AEB088F">
                <wp:simplePos x="0" y="0"/>
                <wp:positionH relativeFrom="column">
                  <wp:posOffset>4667250</wp:posOffset>
                </wp:positionH>
                <wp:positionV relativeFrom="paragraph">
                  <wp:posOffset>2138680</wp:posOffset>
                </wp:positionV>
                <wp:extent cx="1969770" cy="1095375"/>
                <wp:effectExtent l="0" t="0" r="1143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1095375"/>
                        </a:xfrm>
                        <a:prstGeom prst="rect">
                          <a:avLst/>
                        </a:prstGeom>
                        <a:solidFill>
                          <a:srgbClr val="FFFFFF"/>
                        </a:solidFill>
                        <a:ln w="9525">
                          <a:solidFill>
                            <a:srgbClr val="000000"/>
                          </a:solidFill>
                          <a:miter lim="800000"/>
                          <a:headEnd/>
                          <a:tailEnd/>
                        </a:ln>
                      </wps:spPr>
                      <wps:txbx>
                        <w:txbxContent>
                          <w:p w14:paraId="536E1044" w14:textId="77777777" w:rsidR="00866CF6" w:rsidRPr="00C77B48" w:rsidRDefault="00866CF6" w:rsidP="00C77B48">
                            <w:pPr>
                              <w:ind w:left="0"/>
                              <w:rPr>
                                <w:sz w:val="20"/>
                              </w:rPr>
                            </w:pPr>
                            <w:r w:rsidRPr="00C77B48">
                              <w:rPr>
                                <w:sz w:val="20"/>
                              </w:rPr>
                              <w:t>Firms may also wish to consider if they would like to put in a description of the different types of charges, like in other example templates in this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67.5pt;margin-top:168.4pt;width:155.1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">
                <v:textbox>
                  <w:txbxContent>
                    <w:p w14:paraId="536E1044" w14:textId="77777777" w:rsidR="00866CF6" w:rsidRPr="00C77B48" w:rsidRDefault="00866CF6" w:rsidP="00C77B48">
                      <w:pPr>
                        <w:ind w:left="0"/>
                        <w:rPr>
                          <w:sz w:val="20"/>
                        </w:rPr>
                      </w:pPr>
                      <w:r w:rsidRPr="00C77B48">
                        <w:rPr>
                          <w:sz w:val="20"/>
                        </w:rPr>
                        <w:t>Firms may also wish to consider if they would like to put in a description of the different types of charges, like in other example templates in this guide.</w:t>
                      </w:r>
                    </w:p>
                  </w:txbxContent>
                </v:textbox>
              </v:shape>
            </w:pict>
          </mc:Fallback>
        </mc:AlternateContent>
      </w:r>
      <w:r w:rsidR="00F85F30" w:rsidRPr="00395C8B">
        <w:rPr>
          <w:rFonts w:eastAsia="Cambria"/>
          <w:b/>
          <w:noProof/>
          <w:color w:val="FF0000"/>
          <w:sz w:val="16"/>
          <w:szCs w:val="16"/>
          <w:u w:val="single"/>
        </w:rPr>
        <mc:AlternateContent>
          <mc:Choice Requires="wps">
            <w:drawing>
              <wp:anchor distT="0" distB="0" distL="114300" distR="114300" simplePos="0" relativeHeight="251669504" behindDoc="0" locked="0" layoutInCell="1" allowOverlap="1" wp14:anchorId="7BAE8CF0" wp14:editId="1D9CA008">
                <wp:simplePos x="0" y="0"/>
                <wp:positionH relativeFrom="column">
                  <wp:posOffset>3781425</wp:posOffset>
                </wp:positionH>
                <wp:positionV relativeFrom="paragraph">
                  <wp:posOffset>1446530</wp:posOffset>
                </wp:positionV>
                <wp:extent cx="2371725" cy="604520"/>
                <wp:effectExtent l="0" t="0" r="28575" b="241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04520"/>
                        </a:xfrm>
                        <a:prstGeom prst="rect">
                          <a:avLst/>
                        </a:prstGeom>
                        <a:solidFill>
                          <a:srgbClr val="FFFFFF"/>
                        </a:solidFill>
                        <a:ln w="12700">
                          <a:solidFill>
                            <a:srgbClr val="0070C0"/>
                          </a:solidFill>
                          <a:miter lim="800000"/>
                          <a:headEnd/>
                          <a:tailEnd/>
                        </a:ln>
                      </wps:spPr>
                      <wps:txbx>
                        <w:txbxContent>
                          <w:p w14:paraId="421B6EF1" w14:textId="77777777" w:rsidR="00866CF6" w:rsidRPr="004855C5" w:rsidRDefault="00866CF6" w:rsidP="001578EB">
                            <w:pPr>
                              <w:ind w:left="0"/>
                              <w:rPr>
                                <w:b/>
                                <w:i/>
                                <w:color w:val="0070C0"/>
                                <w:sz w:val="14"/>
                                <w:szCs w:val="14"/>
                              </w:rPr>
                            </w:pPr>
                            <w:r>
                              <w:rPr>
                                <w:b/>
                                <w:i/>
                                <w:color w:val="0070C0"/>
                                <w:sz w:val="14"/>
                                <w:szCs w:val="14"/>
                              </w:rPr>
                              <w:t xml:space="preserve">PLEASE NOTE - </w:t>
                            </w:r>
                            <w:r w:rsidRPr="004855C5">
                              <w:rPr>
                                <w:b/>
                                <w:i/>
                                <w:color w:val="0070C0"/>
                                <w:sz w:val="14"/>
                                <w:szCs w:val="14"/>
                              </w:rPr>
                              <w:t xml:space="preserve">ABOVE AND BELOW TABLES ARE NOT REGULATORY MANDATORY – ONLY REGULATORY APPLICABLE VIA “AD-HOC REQUEST”. </w:t>
                            </w:r>
                            <w:r>
                              <w:rPr>
                                <w:b/>
                                <w:i/>
                                <w:color w:val="0070C0"/>
                                <w:sz w:val="14"/>
                                <w:szCs w:val="14"/>
                              </w:rPr>
                              <w:t xml:space="preserve">HOWEVER </w:t>
                            </w:r>
                            <w:r w:rsidRPr="004855C5">
                              <w:rPr>
                                <w:b/>
                                <w:i/>
                                <w:color w:val="0070C0"/>
                                <w:sz w:val="14"/>
                                <w:szCs w:val="14"/>
                              </w:rPr>
                              <w:t xml:space="preserve">BEST PRACTICE SUGGESTING TO INCLUDE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7.75pt;margin-top:113.9pt;width:186.75pt;height:4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" strokecolor="#0070c0" strokeweight="1pt">
                <v:textbox>
                  <w:txbxContent>
                    <w:p w14:paraId="421B6EF1" w14:textId="77777777" w:rsidR="00866CF6" w:rsidRPr="004855C5" w:rsidRDefault="00866CF6" w:rsidP="001578EB">
                      <w:pPr>
                        <w:ind w:left="0"/>
                        <w:rPr>
                          <w:b/>
                          <w:i/>
                          <w:color w:val="0070C0"/>
                          <w:sz w:val="14"/>
                          <w:szCs w:val="14"/>
                        </w:rPr>
                      </w:pPr>
                      <w:r>
                        <w:rPr>
                          <w:b/>
                          <w:i/>
                          <w:color w:val="0070C0"/>
                          <w:sz w:val="14"/>
                          <w:szCs w:val="14"/>
                        </w:rPr>
                        <w:t xml:space="preserve">PLEASE NOTE - </w:t>
                      </w:r>
                      <w:r w:rsidRPr="004855C5">
                        <w:rPr>
                          <w:b/>
                          <w:i/>
                          <w:color w:val="0070C0"/>
                          <w:sz w:val="14"/>
                          <w:szCs w:val="14"/>
                        </w:rPr>
                        <w:t xml:space="preserve">ABOVE AND BELOW TABLES ARE NOT REGULATORY MANDATORY – ONLY REGULATORY APPLICABLE VIA “AD-HOC REQUEST”. </w:t>
                      </w:r>
                      <w:r>
                        <w:rPr>
                          <w:b/>
                          <w:i/>
                          <w:color w:val="0070C0"/>
                          <w:sz w:val="14"/>
                          <w:szCs w:val="14"/>
                        </w:rPr>
                        <w:t xml:space="preserve">HOWEVER </w:t>
                      </w:r>
                      <w:r w:rsidRPr="004855C5">
                        <w:rPr>
                          <w:b/>
                          <w:i/>
                          <w:color w:val="0070C0"/>
                          <w:sz w:val="14"/>
                          <w:szCs w:val="14"/>
                        </w:rPr>
                        <w:t xml:space="preserve">BEST PRACTICE SUGGESTING TO INCLUDE </w:t>
                      </w:r>
                    </w:p>
                  </w:txbxContent>
                </v:textbox>
              </v:shape>
            </w:pict>
          </mc:Fallback>
        </mc:AlternateContent>
      </w:r>
      <w:r w:rsidR="00F85F30" w:rsidRPr="00BE7B03">
        <w:rPr>
          <w:noProof/>
        </w:rPr>
        <w:drawing>
          <wp:inline distT="0" distB="0" distL="0" distR="0" wp14:anchorId="26331237" wp14:editId="58E8D5E1">
            <wp:extent cx="5731510" cy="3462020"/>
            <wp:effectExtent l="0" t="0" r="254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462020"/>
                    </a:xfrm>
                    <a:prstGeom prst="rect">
                      <a:avLst/>
                    </a:prstGeom>
                    <a:noFill/>
                    <a:ln>
                      <a:noFill/>
                    </a:ln>
                  </pic:spPr>
                </pic:pic>
              </a:graphicData>
            </a:graphic>
          </wp:inline>
        </w:drawing>
      </w:r>
    </w:p>
    <w:p w14:paraId="2533241A" w14:textId="324DFC3E" w:rsidR="00395C8B" w:rsidRPr="006757FC" w:rsidRDefault="00FF0D8A" w:rsidP="00395C8B">
      <w:pPr>
        <w:spacing w:after="160" w:line="259" w:lineRule="auto"/>
        <w:ind w:left="0"/>
        <w:rPr>
          <w:rFonts w:ascii="Calibri" w:eastAsia="Cambria" w:hAnsi="Calibri"/>
          <w:b/>
          <w:bCs/>
          <w:szCs w:val="22"/>
          <w:u w:val="single"/>
          <w:lang w:val="en-GB"/>
        </w:rPr>
      </w:pPr>
      <w:r w:rsidRPr="006757FC">
        <w:rPr>
          <w:rFonts w:ascii="Calibri" w:eastAsia="Cambria" w:hAnsi="Calibri"/>
          <w:b/>
          <w:bCs/>
          <w:szCs w:val="22"/>
          <w:u w:val="single"/>
          <w:lang w:val="en-GB"/>
        </w:rPr>
        <w:lastRenderedPageBreak/>
        <w:t xml:space="preserve">These are annualised anticipated costs over the first year and a subsequent years period.  </w:t>
      </w:r>
      <w:r w:rsidRPr="006757FC">
        <w:rPr>
          <w:rFonts w:ascii="Calibri" w:eastAsia="Cambria" w:hAnsi="Calibri"/>
          <w:b/>
          <w:bCs/>
          <w:szCs w:val="22"/>
          <w:u w:val="single"/>
          <w:lang w:val="en-GB"/>
        </w:rPr>
        <w:br/>
      </w:r>
    </w:p>
    <w:p w14:paraId="3D4B5FD3" w14:textId="29C7A545" w:rsidR="00395C8B" w:rsidRPr="00EC5EBD" w:rsidRDefault="00395C8B" w:rsidP="001578EB">
      <w:pPr>
        <w:spacing w:after="160" w:line="259" w:lineRule="auto"/>
        <w:ind w:left="0"/>
        <w:jc w:val="center"/>
        <w:rPr>
          <w:rFonts w:asciiTheme="minorHAnsi" w:eastAsia="Cambria" w:hAnsiTheme="minorHAnsi"/>
          <w:b/>
          <w:color w:val="000000" w:themeColor="text1"/>
          <w:szCs w:val="22"/>
          <w:u w:val="single"/>
          <w:lang w:val="en-GB"/>
        </w:rPr>
      </w:pPr>
      <w:r w:rsidRPr="00EC5EBD">
        <w:rPr>
          <w:rFonts w:asciiTheme="minorHAnsi" w:eastAsia="Cambria" w:hAnsiTheme="minorHAnsi"/>
          <w:b/>
          <w:color w:val="000000" w:themeColor="text1"/>
          <w:szCs w:val="22"/>
          <w:u w:val="single"/>
          <w:lang w:val="en-GB"/>
        </w:rPr>
        <w:t>The Cumulative Effect of Costs on Return</w:t>
      </w:r>
    </w:p>
    <w:p w14:paraId="071D380E" w14:textId="047717E8" w:rsidR="000B7DA4" w:rsidRPr="00057363" w:rsidRDefault="00395C8B" w:rsidP="00894AA2">
      <w:pPr>
        <w:jc w:val="both"/>
        <w:rPr>
          <w:rFonts w:ascii="Calibri" w:hAnsi="Calibri"/>
          <w:i/>
          <w:iCs/>
          <w:color w:val="000000"/>
          <w:sz w:val="14"/>
          <w:szCs w:val="14"/>
          <w:lang w:eastAsia="zh-TW"/>
        </w:rPr>
      </w:pPr>
      <w:r w:rsidRPr="00D520E1">
        <w:rPr>
          <w:rFonts w:asciiTheme="minorHAnsi" w:eastAsia="Cambria" w:hAnsiTheme="minorHAnsi"/>
          <w:i/>
          <w:color w:val="000000" w:themeColor="text1"/>
          <w:szCs w:val="22"/>
          <w:lang w:val="en-GB"/>
        </w:rPr>
        <w:t>While performance can’t be guaranteed, we can give you examples of how the charges will affect what you might get back and the illustration below shows you the effect charges</w:t>
      </w:r>
      <w:r w:rsidRPr="006960A2">
        <w:rPr>
          <w:rFonts w:asciiTheme="minorHAnsi" w:eastAsia="Cambria" w:hAnsiTheme="minorHAnsi"/>
          <w:i/>
          <w:color w:val="000000" w:themeColor="text1"/>
          <w:szCs w:val="22"/>
          <w:lang w:val="en-GB"/>
        </w:rPr>
        <w:t xml:space="preserve"> have when comparing the return before and after fees.</w:t>
      </w:r>
      <w:r w:rsidRPr="00EC5EBD">
        <w:rPr>
          <w:rFonts w:asciiTheme="minorHAnsi" w:eastAsia="Cambria" w:hAnsiTheme="minorHAnsi"/>
          <w:i/>
          <w:color w:val="000000" w:themeColor="text1"/>
          <w:szCs w:val="22"/>
          <w:lang w:val="en-GB"/>
        </w:rPr>
        <w:t xml:space="preserve">   </w:t>
      </w:r>
      <w:r w:rsidR="00524858" w:rsidRPr="00EC5EBD">
        <w:rPr>
          <w:rFonts w:asciiTheme="minorHAnsi" w:eastAsia="Cambria" w:hAnsiTheme="minorHAnsi"/>
          <w:i/>
          <w:iCs/>
          <w:color w:val="000000" w:themeColor="text1"/>
          <w:szCs w:val="22"/>
          <w:lang w:val="en-GB"/>
        </w:rPr>
        <w:t xml:space="preserve">ABCXYZ Investments do not recommend a holding period for your portfolio, but for illustration purposes the information </w:t>
      </w:r>
      <w:r w:rsidR="008D0671">
        <w:rPr>
          <w:rFonts w:asciiTheme="minorHAnsi" w:eastAsia="Cambria" w:hAnsiTheme="minorHAnsi"/>
          <w:i/>
          <w:iCs/>
          <w:color w:val="000000" w:themeColor="text1"/>
          <w:szCs w:val="22"/>
          <w:lang w:val="en-GB"/>
        </w:rPr>
        <w:t xml:space="preserve">below </w:t>
      </w:r>
      <w:r w:rsidR="00524858" w:rsidRPr="00EC5EBD">
        <w:rPr>
          <w:rFonts w:asciiTheme="minorHAnsi" w:eastAsia="Cambria" w:hAnsiTheme="minorHAnsi"/>
          <w:i/>
          <w:iCs/>
          <w:color w:val="000000" w:themeColor="text1"/>
          <w:szCs w:val="22"/>
          <w:lang w:val="en-GB"/>
        </w:rPr>
        <w:t xml:space="preserve">relating to impacts that charges may have on your return is based on a 1 year period and </w:t>
      </w:r>
      <w:r w:rsidR="00D520E1">
        <w:rPr>
          <w:rFonts w:asciiTheme="minorHAnsi" w:eastAsia="Cambria" w:hAnsiTheme="minorHAnsi"/>
          <w:i/>
          <w:iCs/>
          <w:color w:val="000000" w:themeColor="text1"/>
          <w:szCs w:val="22"/>
          <w:lang w:val="en-GB"/>
        </w:rPr>
        <w:t>[</w:t>
      </w:r>
      <w:r w:rsidR="00524858">
        <w:rPr>
          <w:rFonts w:asciiTheme="minorHAnsi" w:eastAsia="Cambria" w:hAnsiTheme="minorHAnsi"/>
          <w:i/>
          <w:iCs/>
          <w:color w:val="000000" w:themeColor="text1"/>
          <w:szCs w:val="22"/>
          <w:lang w:val="en-GB"/>
        </w:rPr>
        <w:t>five</w:t>
      </w:r>
      <w:r w:rsidR="00D520E1">
        <w:rPr>
          <w:rFonts w:asciiTheme="minorHAnsi" w:eastAsia="Cambria" w:hAnsiTheme="minorHAnsi"/>
          <w:i/>
          <w:iCs/>
          <w:color w:val="000000" w:themeColor="text1"/>
          <w:szCs w:val="22"/>
          <w:lang w:val="en-GB"/>
        </w:rPr>
        <w:t>]</w:t>
      </w:r>
      <w:r w:rsidR="00524858" w:rsidRPr="00EC5EBD">
        <w:rPr>
          <w:rFonts w:asciiTheme="minorHAnsi" w:eastAsia="Cambria" w:hAnsiTheme="minorHAnsi"/>
          <w:i/>
          <w:iCs/>
          <w:color w:val="000000" w:themeColor="text1"/>
          <w:szCs w:val="22"/>
          <w:lang w:val="en-GB"/>
        </w:rPr>
        <w:t xml:space="preserve"> years period.</w:t>
      </w:r>
      <w:r w:rsidR="00524858">
        <w:rPr>
          <w:rFonts w:asciiTheme="minorHAnsi" w:eastAsia="Cambria" w:hAnsiTheme="minorHAnsi"/>
          <w:i/>
          <w:iCs/>
          <w:color w:val="000000" w:themeColor="text1"/>
          <w:szCs w:val="22"/>
          <w:lang w:val="en-GB"/>
        </w:rPr>
        <w:t xml:space="preserve">  </w:t>
      </w:r>
      <w:r w:rsidRPr="00EC5EBD">
        <w:rPr>
          <w:rFonts w:asciiTheme="minorHAnsi" w:eastAsia="Cambria" w:hAnsiTheme="minorHAnsi"/>
          <w:i/>
          <w:color w:val="000000" w:themeColor="text1"/>
          <w:szCs w:val="22"/>
          <w:lang w:val="en-GB"/>
        </w:rPr>
        <w:t>Past performance is not a guide to future performance.  The value of investments may go down as well as up and cannot be guaranteed; an investor may receive back less than their original investment.</w:t>
      </w:r>
      <w:r w:rsidR="000B7DA4">
        <w:rPr>
          <w:rFonts w:asciiTheme="minorHAnsi" w:eastAsia="Cambria" w:hAnsiTheme="minorHAnsi"/>
          <w:i/>
          <w:color w:val="000000" w:themeColor="text1"/>
          <w:szCs w:val="22"/>
          <w:lang w:val="en-GB"/>
        </w:rPr>
        <w:t xml:space="preserve">  </w:t>
      </w:r>
      <w:r w:rsidR="000B7DA4" w:rsidRPr="000B7DA4">
        <w:rPr>
          <w:rFonts w:asciiTheme="minorHAnsi" w:eastAsia="Cambria" w:hAnsiTheme="minorHAnsi"/>
          <w:i/>
          <w:color w:val="000000" w:themeColor="text1"/>
          <w:szCs w:val="22"/>
          <w:lang w:val="en-GB"/>
        </w:rPr>
        <w:t>[These are example disclaimers - firms themselves should consider relevant disclaimers]</w:t>
      </w:r>
      <w:r w:rsidR="00D520E1" w:rsidRPr="00D520E1" w:rsidDel="0084490C">
        <w:rPr>
          <w:b/>
          <w:i/>
          <w:noProof/>
          <w:sz w:val="11"/>
          <w:szCs w:val="11"/>
          <w:lang w:eastAsia="zh-TW"/>
        </w:rPr>
        <w:t xml:space="preserve"> </w:t>
      </w:r>
    </w:p>
    <w:p w14:paraId="12B1A75C" w14:textId="67DCCF4F" w:rsidR="00B44661" w:rsidRDefault="00E47D9F" w:rsidP="00395C8B">
      <w:pPr>
        <w:spacing w:after="160" w:line="259" w:lineRule="auto"/>
        <w:ind w:left="0"/>
        <w:rPr>
          <w:rFonts w:eastAsia="Cambria"/>
          <w:b/>
          <w:i/>
          <w:color w:val="FF0000"/>
          <w:sz w:val="16"/>
          <w:szCs w:val="16"/>
          <w:u w:val="single"/>
          <w:lang w:val="en-GB"/>
        </w:rPr>
      </w:pPr>
      <w:r w:rsidRPr="00395C8B">
        <w:rPr>
          <w:rFonts w:eastAsia="Cambria"/>
          <w:b/>
          <w:noProof/>
          <w:color w:val="FF0000"/>
          <w:sz w:val="16"/>
          <w:szCs w:val="16"/>
          <w:u w:val="single"/>
        </w:rPr>
        <mc:AlternateContent>
          <mc:Choice Requires="wps">
            <w:drawing>
              <wp:anchor distT="0" distB="0" distL="114300" distR="114300" simplePos="0" relativeHeight="251671552" behindDoc="0" locked="0" layoutInCell="1" allowOverlap="1" wp14:anchorId="45237A61" wp14:editId="18548011">
                <wp:simplePos x="0" y="0"/>
                <wp:positionH relativeFrom="column">
                  <wp:posOffset>3238500</wp:posOffset>
                </wp:positionH>
                <wp:positionV relativeFrom="paragraph">
                  <wp:posOffset>29210</wp:posOffset>
                </wp:positionV>
                <wp:extent cx="2952750" cy="2857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2952750" cy="285750"/>
                        </a:xfrm>
                        <a:prstGeom prst="rect">
                          <a:avLst/>
                        </a:prstGeom>
                        <a:solidFill>
                          <a:srgbClr val="FF0000"/>
                        </a:solidFill>
                        <a:ln w="25400" cap="flat" cmpd="sng" algn="ctr">
                          <a:solidFill>
                            <a:sysClr val="windowText" lastClr="000000"/>
                          </a:solidFill>
                          <a:prstDash val="solid"/>
                        </a:ln>
                        <a:effectLst/>
                      </wps:spPr>
                      <wps:txbx>
                        <w:txbxContent>
                          <w:p w14:paraId="317BFE66" w14:textId="7C8A1CEE" w:rsidR="00866CF6" w:rsidRPr="008D4989" w:rsidRDefault="00866CF6" w:rsidP="001578EB">
                            <w:pPr>
                              <w:ind w:left="0"/>
                              <w:rPr>
                                <w:sz w:val="16"/>
                                <w:szCs w:val="16"/>
                              </w:rPr>
                            </w:pPr>
                            <w:r>
                              <w:rPr>
                                <w:sz w:val="16"/>
                                <w:szCs w:val="16"/>
                              </w:rPr>
                              <w:t>Use of net growth rate of 3% is illustrative, not prescriptive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8" style="position:absolute;margin-left:255pt;margin-top:2.3pt;width:23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" fillcolor="red" strokecolor="windowText" strokeweight="2pt">
                <v:textbox>
                  <w:txbxContent>
                    <w:p w14:paraId="317BFE66" w14:textId="7C8A1CEE" w:rsidR="00866CF6" w:rsidRPr="008D4989" w:rsidRDefault="00866CF6" w:rsidP="001578EB">
                      <w:pPr>
                        <w:ind w:left="0"/>
                        <w:rPr>
                          <w:sz w:val="16"/>
                          <w:szCs w:val="16"/>
                        </w:rPr>
                      </w:pPr>
                      <w:r>
                        <w:rPr>
                          <w:sz w:val="16"/>
                          <w:szCs w:val="16"/>
                        </w:rPr>
                        <w:t>Use of net growth rate of 3% is illustrative, not prescriptive</w:t>
                      </w:r>
                    </w:p>
                  </w:txbxContent>
                </v:textbox>
              </v:rect>
            </w:pict>
          </mc:Fallback>
        </mc:AlternateContent>
      </w:r>
    </w:p>
    <w:p w14:paraId="36D974CC" w14:textId="4BAD8CA4" w:rsidR="00037BD0" w:rsidRDefault="00037BD0" w:rsidP="00395C8B">
      <w:pPr>
        <w:spacing w:after="160" w:line="259" w:lineRule="auto"/>
        <w:ind w:left="0"/>
        <w:rPr>
          <w:rFonts w:eastAsia="Cambria"/>
          <w:b/>
          <w:i/>
          <w:color w:val="FF0000"/>
          <w:sz w:val="16"/>
          <w:szCs w:val="16"/>
          <w:u w:val="single"/>
          <w:lang w:val="en-GB"/>
        </w:rPr>
      </w:pPr>
    </w:p>
    <w:p w14:paraId="73965CC3" w14:textId="5BF9558E" w:rsidR="00037BD0" w:rsidRDefault="00037BD0" w:rsidP="00037BD0">
      <w:pPr>
        <w:rPr>
          <w:b/>
          <w:sz w:val="16"/>
          <w:szCs w:val="16"/>
          <w:u w:val="single"/>
        </w:rPr>
      </w:pPr>
      <w:r w:rsidRPr="00886AEE">
        <w:rPr>
          <w:noProof/>
        </w:rPr>
        <w:drawing>
          <wp:inline distT="0" distB="0" distL="0" distR="0" wp14:anchorId="74F780A1" wp14:editId="560E8963">
            <wp:extent cx="5731510" cy="73180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31807"/>
                    </a:xfrm>
                    <a:prstGeom prst="rect">
                      <a:avLst/>
                    </a:prstGeom>
                    <a:noFill/>
                    <a:ln>
                      <a:noFill/>
                    </a:ln>
                  </pic:spPr>
                </pic:pic>
              </a:graphicData>
            </a:graphic>
          </wp:inline>
        </w:drawing>
      </w:r>
    </w:p>
    <w:p w14:paraId="721E2681" w14:textId="77777777" w:rsidR="00037BD0" w:rsidRDefault="00037BD0" w:rsidP="00037BD0">
      <w:pPr>
        <w:rPr>
          <w:b/>
          <w:sz w:val="16"/>
          <w:szCs w:val="16"/>
          <w:u w:val="single"/>
        </w:rPr>
      </w:pPr>
    </w:p>
    <w:p w14:paraId="49E1C2B5" w14:textId="2CF70D41" w:rsidR="00037BD0" w:rsidRDefault="00037BD0" w:rsidP="00037BD0">
      <w:pPr>
        <w:rPr>
          <w:noProof/>
          <w:sz w:val="13"/>
          <w:szCs w:val="13"/>
          <w:lang w:eastAsia="zh-TW"/>
        </w:rPr>
      </w:pPr>
      <w:r w:rsidRPr="00057363">
        <w:rPr>
          <w:i/>
          <w:sz w:val="13"/>
          <w:szCs w:val="13"/>
        </w:rPr>
        <w:t>.</w:t>
      </w:r>
      <w:r w:rsidRPr="00057363">
        <w:rPr>
          <w:noProof/>
          <w:sz w:val="13"/>
          <w:szCs w:val="13"/>
          <w:lang w:eastAsia="zh-TW"/>
        </w:rPr>
        <w:t xml:space="preserve"> </w:t>
      </w:r>
    </w:p>
    <w:p w14:paraId="392E908B" w14:textId="7C823B7C" w:rsidR="00395C8B" w:rsidRPr="00395C8B" w:rsidRDefault="000D380F" w:rsidP="00395C8B">
      <w:pPr>
        <w:spacing w:after="160" w:line="259" w:lineRule="auto"/>
        <w:ind w:left="0"/>
        <w:rPr>
          <w:rFonts w:eastAsia="Cambria"/>
          <w:b/>
          <w:i/>
          <w:color w:val="FF0000"/>
          <w:sz w:val="16"/>
          <w:szCs w:val="16"/>
          <w:u w:val="single"/>
          <w:lang w:val="en-GB"/>
        </w:rPr>
      </w:pPr>
      <w:r w:rsidRPr="00D64151">
        <w:rPr>
          <w:rFonts w:eastAsia="Cambria"/>
          <w:b/>
          <w:noProof/>
          <w:color w:val="FF0000"/>
          <w:sz w:val="16"/>
          <w:szCs w:val="16"/>
          <w:u w:val="single"/>
        </w:rPr>
        <mc:AlternateContent>
          <mc:Choice Requires="wps">
            <w:drawing>
              <wp:anchor distT="0" distB="0" distL="114300" distR="114300" simplePos="0" relativeHeight="251680768" behindDoc="0" locked="0" layoutInCell="1" allowOverlap="1" wp14:anchorId="0004FC0D" wp14:editId="6BFA0C30">
                <wp:simplePos x="0" y="0"/>
                <wp:positionH relativeFrom="column">
                  <wp:align>center</wp:align>
                </wp:positionH>
                <wp:positionV relativeFrom="paragraph">
                  <wp:posOffset>0</wp:posOffset>
                </wp:positionV>
                <wp:extent cx="7077075" cy="12763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276350"/>
                        </a:xfrm>
                        <a:prstGeom prst="rect">
                          <a:avLst/>
                        </a:prstGeom>
                        <a:solidFill>
                          <a:srgbClr val="FFFFFF"/>
                        </a:solidFill>
                        <a:ln w="9525">
                          <a:solidFill>
                            <a:srgbClr val="000000"/>
                          </a:solidFill>
                          <a:miter lim="800000"/>
                          <a:headEnd/>
                          <a:tailEnd/>
                        </a:ln>
                      </wps:spPr>
                      <wps:txbx>
                        <w:txbxContent>
                          <w:p w14:paraId="52BD4AAB" w14:textId="5196FF01" w:rsidR="00866CF6" w:rsidRPr="00D448EF" w:rsidRDefault="00866CF6" w:rsidP="00D448EF">
                            <w:pPr>
                              <w:rPr>
                                <w:rFonts w:asciiTheme="minorHAnsi" w:hAnsiTheme="minorHAnsi"/>
                                <w:color w:val="1F497D"/>
                                <w:szCs w:val="22"/>
                              </w:rPr>
                            </w:pPr>
                            <w:r w:rsidRPr="00FA2228">
                              <w:rPr>
                                <w:rFonts w:asciiTheme="minorHAnsi" w:hAnsiTheme="minorHAnsi"/>
                                <w:b/>
                                <w:szCs w:val="22"/>
                              </w:rPr>
                              <w:t>Please note</w:t>
                            </w:r>
                            <w:r w:rsidRPr="00FA2228">
                              <w:rPr>
                                <w:rFonts w:asciiTheme="minorHAnsi" w:hAnsiTheme="minorHAnsi"/>
                                <w:szCs w:val="22"/>
                              </w:rPr>
                              <w:t xml:space="preserve"> – as noted above, </w:t>
                            </w:r>
                            <w:r w:rsidRPr="00FA2228">
                              <w:rPr>
                                <w:rFonts w:asciiTheme="minorHAnsi" w:hAnsiTheme="minorHAnsi"/>
                                <w:color w:val="1F497D"/>
                                <w:szCs w:val="22"/>
                              </w:rPr>
                              <w:t xml:space="preserve">the aim of this template is to give suggestions around the </w:t>
                            </w:r>
                            <w:r w:rsidRPr="00FA2228">
                              <w:rPr>
                                <w:rFonts w:asciiTheme="minorHAnsi" w:hAnsiTheme="minorHAnsi"/>
                                <w:b/>
                                <w:color w:val="1F497D"/>
                                <w:szCs w:val="22"/>
                                <w:u w:val="single"/>
                              </w:rPr>
                              <w:t>format</w:t>
                            </w:r>
                            <w:r w:rsidRPr="00FA2228">
                              <w:rPr>
                                <w:rFonts w:asciiTheme="minorHAnsi" w:hAnsiTheme="minorHAnsi"/>
                                <w:b/>
                                <w:color w:val="1F497D"/>
                                <w:szCs w:val="22"/>
                              </w:rPr>
                              <w:t>/layout</w:t>
                            </w:r>
                            <w:r>
                              <w:rPr>
                                <w:rFonts w:asciiTheme="minorHAnsi" w:hAnsiTheme="minorHAnsi"/>
                                <w:color w:val="1F497D"/>
                                <w:szCs w:val="22"/>
                              </w:rPr>
                              <w:t xml:space="preserve"> </w:t>
                            </w:r>
                            <w:r w:rsidRPr="00FA2228">
                              <w:rPr>
                                <w:rFonts w:asciiTheme="minorHAnsi" w:hAnsiTheme="minorHAnsi"/>
                                <w:color w:val="1F497D"/>
                                <w:szCs w:val="22"/>
                              </w:rPr>
                              <w:t>of the relevant disclosures and a</w:t>
                            </w:r>
                            <w:r>
                              <w:rPr>
                                <w:rFonts w:asciiTheme="minorHAnsi" w:hAnsiTheme="minorHAnsi"/>
                                <w:color w:val="1F497D"/>
                                <w:szCs w:val="22"/>
                              </w:rPr>
                              <w:t>s such, the calculated £ numbers and percentages (together “figures”) contained in this</w:t>
                            </w:r>
                            <w:r w:rsidRPr="00FA2228">
                              <w:rPr>
                                <w:rFonts w:asciiTheme="minorHAnsi" w:hAnsiTheme="minorHAnsi"/>
                                <w:color w:val="1F497D"/>
                                <w:szCs w:val="22"/>
                              </w:rPr>
                              <w:t xml:space="preserve"> </w:t>
                            </w:r>
                            <w:r>
                              <w:rPr>
                                <w:rFonts w:asciiTheme="minorHAnsi" w:hAnsiTheme="minorHAnsi"/>
                                <w:color w:val="1F497D"/>
                                <w:szCs w:val="22"/>
                              </w:rPr>
                              <w:t xml:space="preserve">example </w:t>
                            </w:r>
                            <w:r w:rsidRPr="00FA2228">
                              <w:rPr>
                                <w:rFonts w:asciiTheme="minorHAnsi" w:hAnsiTheme="minorHAnsi"/>
                                <w:color w:val="1F497D"/>
                                <w:szCs w:val="22"/>
                              </w:rPr>
                              <w:t xml:space="preserve">template </w:t>
                            </w:r>
                            <w:r>
                              <w:rPr>
                                <w:rFonts w:asciiTheme="minorHAnsi" w:hAnsiTheme="minorHAnsi"/>
                                <w:color w:val="1F497D"/>
                                <w:szCs w:val="22"/>
                              </w:rPr>
                              <w:t xml:space="preserve">and associated narrative below </w:t>
                            </w:r>
                            <w:r w:rsidRPr="00FA2228">
                              <w:rPr>
                                <w:rFonts w:asciiTheme="minorHAnsi" w:hAnsiTheme="minorHAnsi"/>
                                <w:color w:val="1F497D"/>
                                <w:szCs w:val="22"/>
                              </w:rPr>
                              <w:t>are only for illustrative purposes</w:t>
                            </w:r>
                            <w:r>
                              <w:rPr>
                                <w:rFonts w:asciiTheme="minorHAnsi" w:hAnsiTheme="minorHAnsi"/>
                                <w:color w:val="1F497D"/>
                                <w:szCs w:val="22"/>
                              </w:rPr>
                              <w:t>. Therefore, and for the avoidance of doubt,</w:t>
                            </w:r>
                            <w:r w:rsidRPr="00FA2228">
                              <w:rPr>
                                <w:rFonts w:asciiTheme="minorHAnsi" w:hAnsiTheme="minorHAnsi"/>
                                <w:color w:val="1F497D"/>
                                <w:szCs w:val="22"/>
                              </w:rPr>
                              <w:t xml:space="preserve"> the </w:t>
                            </w:r>
                            <w:r>
                              <w:rPr>
                                <w:rFonts w:asciiTheme="minorHAnsi" w:hAnsiTheme="minorHAnsi"/>
                                <w:color w:val="1F497D"/>
                                <w:szCs w:val="22"/>
                              </w:rPr>
                              <w:t>figures</w:t>
                            </w:r>
                            <w:r w:rsidRPr="00FA2228">
                              <w:rPr>
                                <w:rFonts w:asciiTheme="minorHAnsi" w:hAnsiTheme="minorHAnsi"/>
                                <w:color w:val="1F497D"/>
                                <w:szCs w:val="22"/>
                              </w:rPr>
                              <w:t xml:space="preserve"> in this cumulative effect of costs on return section </w:t>
                            </w:r>
                            <w:r w:rsidRPr="00FA2228">
                              <w:rPr>
                                <w:rFonts w:asciiTheme="minorHAnsi" w:hAnsiTheme="minorHAnsi"/>
                                <w:b/>
                                <w:color w:val="1F497D"/>
                                <w:szCs w:val="22"/>
                              </w:rPr>
                              <w:t>should not to be</w:t>
                            </w:r>
                            <w:r>
                              <w:rPr>
                                <w:rFonts w:asciiTheme="minorHAnsi" w:hAnsiTheme="minorHAnsi"/>
                                <w:color w:val="1F497D"/>
                                <w:szCs w:val="22"/>
                              </w:rPr>
                              <w:t xml:space="preserve"> relied upon by firms, including </w:t>
                            </w:r>
                            <w:r w:rsidRPr="00FA2228">
                              <w:rPr>
                                <w:rFonts w:asciiTheme="minorHAnsi" w:hAnsiTheme="minorHAnsi"/>
                                <w:color w:val="1F497D"/>
                                <w:szCs w:val="22"/>
                              </w:rPr>
                              <w:t xml:space="preserve">in respect of </w:t>
                            </w:r>
                            <w:r>
                              <w:rPr>
                                <w:rFonts w:asciiTheme="minorHAnsi" w:hAnsiTheme="minorHAnsi"/>
                                <w:color w:val="1F497D"/>
                                <w:szCs w:val="22"/>
                              </w:rPr>
                              <w:t>the creation or validation of</w:t>
                            </w:r>
                            <w:r w:rsidRPr="00FA2228">
                              <w:rPr>
                                <w:rFonts w:asciiTheme="minorHAnsi" w:hAnsiTheme="minorHAnsi"/>
                                <w:color w:val="1F497D"/>
                                <w:szCs w:val="22"/>
                              </w:rPr>
                              <w:t xml:space="preserve"> </w:t>
                            </w:r>
                            <w:r>
                              <w:rPr>
                                <w:rFonts w:asciiTheme="minorHAnsi" w:hAnsiTheme="minorHAnsi"/>
                                <w:color w:val="1F497D"/>
                                <w:szCs w:val="22"/>
                              </w:rPr>
                              <w:t>firms’</w:t>
                            </w:r>
                            <w:r w:rsidRPr="00FA2228">
                              <w:rPr>
                                <w:rFonts w:asciiTheme="minorHAnsi" w:hAnsiTheme="minorHAnsi"/>
                                <w:color w:val="1F497D"/>
                                <w:szCs w:val="22"/>
                              </w:rPr>
                              <w:t xml:space="preserve"> own calculation methodology </w:t>
                            </w:r>
                            <w:r>
                              <w:rPr>
                                <w:rFonts w:asciiTheme="minorHAnsi" w:hAnsiTheme="minorHAnsi"/>
                                <w:color w:val="1F497D"/>
                                <w:szCs w:val="22"/>
                              </w:rPr>
                              <w:t>for</w:t>
                            </w:r>
                            <w:r w:rsidRPr="00FA2228">
                              <w:rPr>
                                <w:rFonts w:asciiTheme="minorHAnsi" w:hAnsiTheme="minorHAnsi"/>
                                <w:color w:val="1F497D"/>
                                <w:szCs w:val="22"/>
                              </w:rPr>
                              <w:t xml:space="preserve"> the cumulative effect of costs on return</w:t>
                            </w:r>
                            <w:r>
                              <w:rPr>
                                <w:rFonts w:asciiTheme="minorHAnsi" w:hAnsiTheme="minorHAnsi"/>
                                <w:color w:val="1F497D"/>
                                <w:szCs w:val="22"/>
                              </w:rPr>
                              <w:t xml:space="preserve"> - </w:t>
                            </w:r>
                            <w:r w:rsidR="001F5422">
                              <w:rPr>
                                <w:rFonts w:asciiTheme="minorHAnsi" w:hAnsiTheme="minorHAnsi"/>
                                <w:color w:val="1F497D"/>
                                <w:szCs w:val="22"/>
                              </w:rPr>
                              <w:t>i.e.</w:t>
                            </w:r>
                            <w:r>
                              <w:rPr>
                                <w:rFonts w:asciiTheme="minorHAnsi" w:hAnsiTheme="minorHAnsi"/>
                                <w:color w:val="1F497D"/>
                                <w:szCs w:val="22"/>
                              </w:rPr>
                              <w:t xml:space="preserve"> firms should not use these figures to create or validate their own cumulative effect of costs on return calculation methodologies</w:t>
                            </w:r>
                            <w:r w:rsidRPr="00FA2228">
                              <w:rPr>
                                <w:rFonts w:asciiTheme="minorHAnsi" w:hAnsiTheme="minorHAnsi"/>
                                <w:color w:val="1F497D"/>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9" type="#_x0000_t202" style="position:absolute;margin-left:0;margin-top:0;width:557.25pt;height:100.5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">
                <v:textbox>
                  <w:txbxContent>
                    <w:p w14:paraId="52BD4AAB" w14:textId="5196FF01" w:rsidR="00866CF6" w:rsidRPr="00D448EF" w:rsidRDefault="00866CF6" w:rsidP="00D448EF">
                      <w:pPr>
                        <w:rPr>
                          <w:rFonts w:asciiTheme="minorHAnsi" w:hAnsiTheme="minorHAnsi"/>
                          <w:color w:val="1F497D"/>
                          <w:szCs w:val="22"/>
                        </w:rPr>
                      </w:pPr>
                      <w:r w:rsidRPr="00FA2228">
                        <w:rPr>
                          <w:rFonts w:asciiTheme="minorHAnsi" w:hAnsiTheme="minorHAnsi"/>
                          <w:b/>
                          <w:szCs w:val="22"/>
                        </w:rPr>
                        <w:t>Please note</w:t>
                      </w:r>
                      <w:r w:rsidRPr="00FA2228">
                        <w:rPr>
                          <w:rFonts w:asciiTheme="minorHAnsi" w:hAnsiTheme="minorHAnsi"/>
                          <w:szCs w:val="22"/>
                        </w:rPr>
                        <w:t xml:space="preserve"> – as noted above, </w:t>
                      </w:r>
                      <w:r w:rsidRPr="00FA2228">
                        <w:rPr>
                          <w:rFonts w:asciiTheme="minorHAnsi" w:hAnsiTheme="minorHAnsi"/>
                          <w:color w:val="1F497D"/>
                          <w:szCs w:val="22"/>
                        </w:rPr>
                        <w:t xml:space="preserve">the aim of this template is to give suggestions around the </w:t>
                      </w:r>
                      <w:r w:rsidRPr="00FA2228">
                        <w:rPr>
                          <w:rFonts w:asciiTheme="minorHAnsi" w:hAnsiTheme="minorHAnsi"/>
                          <w:b/>
                          <w:color w:val="1F497D"/>
                          <w:szCs w:val="22"/>
                          <w:u w:val="single"/>
                        </w:rPr>
                        <w:t>format</w:t>
                      </w:r>
                      <w:r w:rsidRPr="00FA2228">
                        <w:rPr>
                          <w:rFonts w:asciiTheme="minorHAnsi" w:hAnsiTheme="minorHAnsi"/>
                          <w:b/>
                          <w:color w:val="1F497D"/>
                          <w:szCs w:val="22"/>
                        </w:rPr>
                        <w:t>/layout</w:t>
                      </w:r>
                      <w:r>
                        <w:rPr>
                          <w:rFonts w:asciiTheme="minorHAnsi" w:hAnsiTheme="minorHAnsi"/>
                          <w:color w:val="1F497D"/>
                          <w:szCs w:val="22"/>
                        </w:rPr>
                        <w:t xml:space="preserve"> </w:t>
                      </w:r>
                      <w:r w:rsidRPr="00FA2228">
                        <w:rPr>
                          <w:rFonts w:asciiTheme="minorHAnsi" w:hAnsiTheme="minorHAnsi"/>
                          <w:color w:val="1F497D"/>
                          <w:szCs w:val="22"/>
                        </w:rPr>
                        <w:t>of the relevant disclosures and a</w:t>
                      </w:r>
                      <w:r>
                        <w:rPr>
                          <w:rFonts w:asciiTheme="minorHAnsi" w:hAnsiTheme="minorHAnsi"/>
                          <w:color w:val="1F497D"/>
                          <w:szCs w:val="22"/>
                        </w:rPr>
                        <w:t>s such, the calculated £ numbers and percentages (together “figures”) contained in this</w:t>
                      </w:r>
                      <w:r w:rsidRPr="00FA2228">
                        <w:rPr>
                          <w:rFonts w:asciiTheme="minorHAnsi" w:hAnsiTheme="minorHAnsi"/>
                          <w:color w:val="1F497D"/>
                          <w:szCs w:val="22"/>
                        </w:rPr>
                        <w:t xml:space="preserve"> </w:t>
                      </w:r>
                      <w:r>
                        <w:rPr>
                          <w:rFonts w:asciiTheme="minorHAnsi" w:hAnsiTheme="minorHAnsi"/>
                          <w:color w:val="1F497D"/>
                          <w:szCs w:val="22"/>
                        </w:rPr>
                        <w:t xml:space="preserve">example </w:t>
                      </w:r>
                      <w:r w:rsidRPr="00FA2228">
                        <w:rPr>
                          <w:rFonts w:asciiTheme="minorHAnsi" w:hAnsiTheme="minorHAnsi"/>
                          <w:color w:val="1F497D"/>
                          <w:szCs w:val="22"/>
                        </w:rPr>
                        <w:t xml:space="preserve">template </w:t>
                      </w:r>
                      <w:r>
                        <w:rPr>
                          <w:rFonts w:asciiTheme="minorHAnsi" w:hAnsiTheme="minorHAnsi"/>
                          <w:color w:val="1F497D"/>
                          <w:szCs w:val="22"/>
                        </w:rPr>
                        <w:t xml:space="preserve">and associated narrative below </w:t>
                      </w:r>
                      <w:r w:rsidRPr="00FA2228">
                        <w:rPr>
                          <w:rFonts w:asciiTheme="minorHAnsi" w:hAnsiTheme="minorHAnsi"/>
                          <w:color w:val="1F497D"/>
                          <w:szCs w:val="22"/>
                        </w:rPr>
                        <w:t>are only for illustrative purposes</w:t>
                      </w:r>
                      <w:r>
                        <w:rPr>
                          <w:rFonts w:asciiTheme="minorHAnsi" w:hAnsiTheme="minorHAnsi"/>
                          <w:color w:val="1F497D"/>
                          <w:szCs w:val="22"/>
                        </w:rPr>
                        <w:t>. Therefore, and for the avoidance of doubt,</w:t>
                      </w:r>
                      <w:r w:rsidRPr="00FA2228">
                        <w:rPr>
                          <w:rFonts w:asciiTheme="minorHAnsi" w:hAnsiTheme="minorHAnsi"/>
                          <w:color w:val="1F497D"/>
                          <w:szCs w:val="22"/>
                        </w:rPr>
                        <w:t xml:space="preserve"> the </w:t>
                      </w:r>
                      <w:r>
                        <w:rPr>
                          <w:rFonts w:asciiTheme="minorHAnsi" w:hAnsiTheme="minorHAnsi"/>
                          <w:color w:val="1F497D"/>
                          <w:szCs w:val="22"/>
                        </w:rPr>
                        <w:t>figures</w:t>
                      </w:r>
                      <w:r w:rsidRPr="00FA2228">
                        <w:rPr>
                          <w:rFonts w:asciiTheme="minorHAnsi" w:hAnsiTheme="minorHAnsi"/>
                          <w:color w:val="1F497D"/>
                          <w:szCs w:val="22"/>
                        </w:rPr>
                        <w:t xml:space="preserve"> in this cumulative effect of costs on return section </w:t>
                      </w:r>
                      <w:r w:rsidRPr="00FA2228">
                        <w:rPr>
                          <w:rFonts w:asciiTheme="minorHAnsi" w:hAnsiTheme="minorHAnsi"/>
                          <w:b/>
                          <w:color w:val="1F497D"/>
                          <w:szCs w:val="22"/>
                        </w:rPr>
                        <w:t>should not to be</w:t>
                      </w:r>
                      <w:r>
                        <w:rPr>
                          <w:rFonts w:asciiTheme="minorHAnsi" w:hAnsiTheme="minorHAnsi"/>
                          <w:color w:val="1F497D"/>
                          <w:szCs w:val="22"/>
                        </w:rPr>
                        <w:t xml:space="preserve"> relied upon by firms, including </w:t>
                      </w:r>
                      <w:r w:rsidRPr="00FA2228">
                        <w:rPr>
                          <w:rFonts w:asciiTheme="minorHAnsi" w:hAnsiTheme="minorHAnsi"/>
                          <w:color w:val="1F497D"/>
                          <w:szCs w:val="22"/>
                        </w:rPr>
                        <w:t xml:space="preserve">in respect of </w:t>
                      </w:r>
                      <w:r>
                        <w:rPr>
                          <w:rFonts w:asciiTheme="minorHAnsi" w:hAnsiTheme="minorHAnsi"/>
                          <w:color w:val="1F497D"/>
                          <w:szCs w:val="22"/>
                        </w:rPr>
                        <w:t>the creation or validation of</w:t>
                      </w:r>
                      <w:r w:rsidRPr="00FA2228">
                        <w:rPr>
                          <w:rFonts w:asciiTheme="minorHAnsi" w:hAnsiTheme="minorHAnsi"/>
                          <w:color w:val="1F497D"/>
                          <w:szCs w:val="22"/>
                        </w:rPr>
                        <w:t xml:space="preserve"> </w:t>
                      </w:r>
                      <w:r>
                        <w:rPr>
                          <w:rFonts w:asciiTheme="minorHAnsi" w:hAnsiTheme="minorHAnsi"/>
                          <w:color w:val="1F497D"/>
                          <w:szCs w:val="22"/>
                        </w:rPr>
                        <w:t>firms’</w:t>
                      </w:r>
                      <w:r w:rsidRPr="00FA2228">
                        <w:rPr>
                          <w:rFonts w:asciiTheme="minorHAnsi" w:hAnsiTheme="minorHAnsi"/>
                          <w:color w:val="1F497D"/>
                          <w:szCs w:val="22"/>
                        </w:rPr>
                        <w:t xml:space="preserve"> own calculation methodology </w:t>
                      </w:r>
                      <w:r>
                        <w:rPr>
                          <w:rFonts w:asciiTheme="minorHAnsi" w:hAnsiTheme="minorHAnsi"/>
                          <w:color w:val="1F497D"/>
                          <w:szCs w:val="22"/>
                        </w:rPr>
                        <w:t>for</w:t>
                      </w:r>
                      <w:r w:rsidRPr="00FA2228">
                        <w:rPr>
                          <w:rFonts w:asciiTheme="minorHAnsi" w:hAnsiTheme="minorHAnsi"/>
                          <w:color w:val="1F497D"/>
                          <w:szCs w:val="22"/>
                        </w:rPr>
                        <w:t xml:space="preserve"> the cumulative effect of costs on return</w:t>
                      </w:r>
                      <w:r>
                        <w:rPr>
                          <w:rFonts w:asciiTheme="minorHAnsi" w:hAnsiTheme="minorHAnsi"/>
                          <w:color w:val="1F497D"/>
                          <w:szCs w:val="22"/>
                        </w:rPr>
                        <w:t xml:space="preserve"> - </w:t>
                      </w:r>
                      <w:r w:rsidR="001F5422">
                        <w:rPr>
                          <w:rFonts w:asciiTheme="minorHAnsi" w:hAnsiTheme="minorHAnsi"/>
                          <w:color w:val="1F497D"/>
                          <w:szCs w:val="22"/>
                        </w:rPr>
                        <w:t>i.e.</w:t>
                      </w:r>
                      <w:r>
                        <w:rPr>
                          <w:rFonts w:asciiTheme="minorHAnsi" w:hAnsiTheme="minorHAnsi"/>
                          <w:color w:val="1F497D"/>
                          <w:szCs w:val="22"/>
                        </w:rPr>
                        <w:t xml:space="preserve"> firms should not use these figures to create or validate their own cumulative effect of costs on return calculation methodologies</w:t>
                      </w:r>
                      <w:r w:rsidRPr="00FA2228">
                        <w:rPr>
                          <w:rFonts w:asciiTheme="minorHAnsi" w:hAnsiTheme="minorHAnsi"/>
                          <w:color w:val="1F497D"/>
                          <w:szCs w:val="22"/>
                        </w:rPr>
                        <w:t>.</w:t>
                      </w:r>
                    </w:p>
                  </w:txbxContent>
                </v:textbox>
              </v:shape>
            </w:pict>
          </mc:Fallback>
        </mc:AlternateContent>
      </w:r>
    </w:p>
    <w:p w14:paraId="4A6BF2B9" w14:textId="39EE0D55" w:rsidR="00395C8B" w:rsidRPr="00395C8B" w:rsidRDefault="00395C8B" w:rsidP="00395C8B">
      <w:pPr>
        <w:spacing w:after="160" w:line="259" w:lineRule="auto"/>
        <w:ind w:left="0"/>
        <w:rPr>
          <w:rFonts w:eastAsia="Cambria"/>
          <w:b/>
          <w:color w:val="FF0000"/>
          <w:sz w:val="16"/>
          <w:szCs w:val="16"/>
          <w:u w:val="single"/>
          <w:lang w:val="en-GB"/>
        </w:rPr>
      </w:pPr>
    </w:p>
    <w:p w14:paraId="4D3F9D19" w14:textId="7E8AC837" w:rsidR="00395C8B" w:rsidRPr="006757FC" w:rsidRDefault="00395C8B" w:rsidP="00B44661">
      <w:pPr>
        <w:spacing w:after="160" w:line="259" w:lineRule="auto"/>
        <w:ind w:left="0"/>
        <w:rPr>
          <w:rFonts w:eastAsia="Cambria"/>
          <w:b/>
          <w:i/>
          <w:color w:val="000000" w:themeColor="text1"/>
          <w:szCs w:val="22"/>
          <w:u w:val="single"/>
          <w:lang w:val="en-GB"/>
        </w:rPr>
      </w:pPr>
    </w:p>
    <w:p w14:paraId="08F9DBA9" w14:textId="77777777" w:rsidR="000D380F" w:rsidRDefault="000D380F" w:rsidP="00395C8B">
      <w:pPr>
        <w:spacing w:after="160" w:line="259" w:lineRule="auto"/>
        <w:ind w:left="0"/>
        <w:rPr>
          <w:rFonts w:asciiTheme="minorHAnsi" w:eastAsia="Cambria" w:hAnsiTheme="minorHAnsi"/>
          <w:b/>
          <w:color w:val="000000" w:themeColor="text1"/>
          <w:szCs w:val="22"/>
          <w:u w:val="single"/>
          <w:lang w:val="en-GB"/>
        </w:rPr>
      </w:pPr>
    </w:p>
    <w:p w14:paraId="746C9BA3" w14:textId="77777777" w:rsidR="000D380F" w:rsidRDefault="000D380F" w:rsidP="00395C8B">
      <w:pPr>
        <w:spacing w:after="160" w:line="259" w:lineRule="auto"/>
        <w:ind w:left="0"/>
        <w:rPr>
          <w:rFonts w:asciiTheme="minorHAnsi" w:eastAsia="Cambria" w:hAnsiTheme="minorHAnsi"/>
          <w:b/>
          <w:color w:val="000000" w:themeColor="text1"/>
          <w:szCs w:val="22"/>
          <w:u w:val="single"/>
          <w:lang w:val="en-GB"/>
        </w:rPr>
      </w:pPr>
    </w:p>
    <w:p w14:paraId="6265D346" w14:textId="4F859A7C" w:rsidR="00395C8B" w:rsidRPr="006960A2" w:rsidRDefault="00395C8B" w:rsidP="00395C8B">
      <w:pPr>
        <w:spacing w:after="160" w:line="259" w:lineRule="auto"/>
        <w:ind w:left="0"/>
        <w:rPr>
          <w:rFonts w:eastAsia="Cambria"/>
          <w:b/>
          <w:color w:val="000000" w:themeColor="text1"/>
          <w:szCs w:val="22"/>
          <w:u w:val="single"/>
          <w:lang w:val="en-GB"/>
        </w:rPr>
      </w:pPr>
      <w:r w:rsidRPr="00B44661">
        <w:rPr>
          <w:rFonts w:asciiTheme="minorHAnsi" w:eastAsia="Cambria" w:hAnsiTheme="minorHAnsi"/>
          <w:b/>
          <w:color w:val="000000" w:themeColor="text1"/>
          <w:szCs w:val="22"/>
          <w:u w:val="single"/>
          <w:lang w:val="en-GB"/>
        </w:rPr>
        <w:t>Description of the illustration of the cumulative effect of costs on return</w:t>
      </w:r>
      <w:r w:rsidR="00861DED" w:rsidRPr="00B44661">
        <w:rPr>
          <w:rFonts w:eastAsia="Cambria"/>
          <w:b/>
          <w:color w:val="000000" w:themeColor="text1"/>
          <w:szCs w:val="22"/>
          <w:u w:val="single"/>
          <w:lang w:val="en-GB"/>
        </w:rPr>
        <w:t>:</w:t>
      </w:r>
      <w:r w:rsidRPr="00B44661">
        <w:rPr>
          <w:rFonts w:eastAsia="Cambria"/>
          <w:b/>
          <w:color w:val="000000" w:themeColor="text1"/>
          <w:szCs w:val="22"/>
          <w:u w:val="single"/>
          <w:lang w:val="en-GB"/>
        </w:rPr>
        <w:br/>
      </w:r>
    </w:p>
    <w:p w14:paraId="77670F94" w14:textId="1F89579C" w:rsidR="00395C8B" w:rsidRPr="006757FC" w:rsidRDefault="00395C8B" w:rsidP="00894AA2">
      <w:pPr>
        <w:spacing w:after="160" w:line="259" w:lineRule="auto"/>
        <w:ind w:left="0"/>
        <w:jc w:val="both"/>
        <w:rPr>
          <w:rFonts w:ascii="Calibri" w:eastAsia="Cambria" w:hAnsi="Calibri"/>
          <w:color w:val="000000" w:themeColor="text1"/>
          <w:szCs w:val="22"/>
          <w:lang w:val="en-GB"/>
        </w:rPr>
      </w:pPr>
      <w:r w:rsidRPr="006757FC">
        <w:rPr>
          <w:rFonts w:ascii="Calibri" w:eastAsia="Cambria" w:hAnsi="Calibri"/>
          <w:color w:val="000000" w:themeColor="text1"/>
          <w:szCs w:val="22"/>
          <w:lang w:val="en-GB"/>
        </w:rPr>
        <w:t>In Year 1, without fees the performance you could have achieved would be</w:t>
      </w:r>
      <w:r w:rsidR="00B44661" w:rsidRPr="006757FC">
        <w:rPr>
          <w:rFonts w:ascii="Calibri" w:eastAsia="Cambria" w:hAnsi="Calibri"/>
          <w:color w:val="000000" w:themeColor="text1"/>
          <w:szCs w:val="22"/>
          <w:lang w:val="en-GB"/>
        </w:rPr>
        <w:t xml:space="preserve"> 5.23</w:t>
      </w:r>
      <w:r w:rsidRPr="006757FC">
        <w:rPr>
          <w:rFonts w:ascii="Calibri" w:eastAsia="Cambria" w:hAnsi="Calibri"/>
          <w:color w:val="000000" w:themeColor="text1"/>
          <w:szCs w:val="22"/>
          <w:lang w:val="en-GB"/>
        </w:rPr>
        <w:t>%, after fees the performance achieved is</w:t>
      </w:r>
      <w:r w:rsidR="00B44661" w:rsidRPr="006757FC">
        <w:rPr>
          <w:rFonts w:ascii="Calibri" w:eastAsia="Cambria" w:hAnsi="Calibri"/>
          <w:color w:val="000000" w:themeColor="text1"/>
          <w:szCs w:val="22"/>
          <w:lang w:val="en-GB"/>
        </w:rPr>
        <w:t xml:space="preserve"> 3</w:t>
      </w:r>
      <w:r w:rsidRPr="006757FC">
        <w:rPr>
          <w:rFonts w:ascii="Calibri" w:eastAsia="Cambria" w:hAnsi="Calibri"/>
          <w:color w:val="000000" w:themeColor="text1"/>
          <w:szCs w:val="22"/>
          <w:lang w:val="en-GB"/>
        </w:rPr>
        <w:t xml:space="preserve">%.  This equates to a reduction in </w:t>
      </w:r>
      <w:r w:rsidR="0050490B" w:rsidRPr="006757FC">
        <w:rPr>
          <w:rFonts w:ascii="Calibri" w:eastAsia="Cambria" w:hAnsi="Calibri"/>
          <w:color w:val="000000" w:themeColor="text1"/>
          <w:szCs w:val="22"/>
          <w:lang w:val="en-GB"/>
        </w:rPr>
        <w:t xml:space="preserve">return </w:t>
      </w:r>
      <w:r w:rsidRPr="006757FC">
        <w:rPr>
          <w:rFonts w:ascii="Calibri" w:eastAsia="Cambria" w:hAnsi="Calibri"/>
          <w:color w:val="000000" w:themeColor="text1"/>
          <w:szCs w:val="22"/>
          <w:lang w:val="en-GB"/>
        </w:rPr>
        <w:t>of £</w:t>
      </w:r>
      <w:r w:rsidR="00B44661" w:rsidRPr="006757FC">
        <w:rPr>
          <w:rFonts w:ascii="Calibri" w:hAnsi="Calibri"/>
          <w:szCs w:val="22"/>
        </w:rPr>
        <w:t>11,132,368.75</w:t>
      </w:r>
      <w:r w:rsidRPr="006757FC">
        <w:rPr>
          <w:rFonts w:ascii="Calibri" w:eastAsia="Cambria" w:hAnsi="Calibri"/>
          <w:color w:val="000000" w:themeColor="text1"/>
          <w:szCs w:val="22"/>
          <w:lang w:val="en-GB"/>
        </w:rPr>
        <w:t xml:space="preserve">.” </w:t>
      </w:r>
    </w:p>
    <w:p w14:paraId="47CD87DE" w14:textId="41C7C2FE" w:rsidR="00395C8B" w:rsidRPr="006757FC" w:rsidRDefault="00B44661" w:rsidP="00894AA2">
      <w:pPr>
        <w:spacing w:after="160" w:line="259" w:lineRule="auto"/>
        <w:ind w:left="0"/>
        <w:jc w:val="both"/>
        <w:rPr>
          <w:rFonts w:ascii="Calibri" w:eastAsia="Cambria" w:hAnsi="Calibri"/>
          <w:color w:val="000000" w:themeColor="text1"/>
          <w:szCs w:val="22"/>
          <w:highlight w:val="yellow"/>
          <w:lang w:val="en-GB"/>
        </w:rPr>
      </w:pPr>
      <w:r w:rsidRPr="006757FC">
        <w:rPr>
          <w:rFonts w:ascii="Calibri" w:hAnsi="Calibri"/>
          <w:szCs w:val="22"/>
        </w:rPr>
        <w:t>Over 5</w:t>
      </w:r>
      <w:r w:rsidR="00C77B48" w:rsidRPr="006757FC">
        <w:rPr>
          <w:rFonts w:ascii="Calibri" w:hAnsi="Calibri"/>
          <w:szCs w:val="22"/>
        </w:rPr>
        <w:t xml:space="preserve"> years</w:t>
      </w:r>
      <w:r w:rsidR="00395C8B" w:rsidRPr="006757FC">
        <w:rPr>
          <w:rFonts w:ascii="Calibri" w:eastAsia="Cambria" w:hAnsi="Calibri"/>
          <w:color w:val="000000" w:themeColor="text1"/>
          <w:szCs w:val="22"/>
          <w:lang w:val="en-GB"/>
        </w:rPr>
        <w:t xml:space="preserve">, without fees the performance you could have achieved would be </w:t>
      </w:r>
      <w:r w:rsidRPr="006757FC">
        <w:rPr>
          <w:rFonts w:ascii="Calibri" w:eastAsia="Cambria" w:hAnsi="Calibri"/>
          <w:color w:val="000000" w:themeColor="text1"/>
          <w:szCs w:val="22"/>
          <w:lang w:val="en-GB"/>
        </w:rPr>
        <w:t>28.53</w:t>
      </w:r>
      <w:r w:rsidR="00395C8B" w:rsidRPr="006757FC">
        <w:rPr>
          <w:rFonts w:ascii="Calibri" w:eastAsia="Cambria" w:hAnsi="Calibri"/>
          <w:color w:val="000000" w:themeColor="text1"/>
          <w:szCs w:val="22"/>
          <w:lang w:val="en-GB"/>
        </w:rPr>
        <w:t xml:space="preserve">%, after fees the performance achieved is </w:t>
      </w:r>
      <w:r w:rsidRPr="006757FC">
        <w:rPr>
          <w:rFonts w:ascii="Calibri" w:eastAsia="Cambria" w:hAnsi="Calibri"/>
          <w:color w:val="000000" w:themeColor="text1"/>
          <w:szCs w:val="22"/>
          <w:lang w:val="en-GB"/>
        </w:rPr>
        <w:t>15.93</w:t>
      </w:r>
      <w:r w:rsidR="00395C8B" w:rsidRPr="006757FC">
        <w:rPr>
          <w:rFonts w:ascii="Calibri" w:eastAsia="Cambria" w:hAnsi="Calibri"/>
          <w:color w:val="000000" w:themeColor="text1"/>
          <w:szCs w:val="22"/>
          <w:lang w:val="en-GB"/>
        </w:rPr>
        <w:t xml:space="preserve">%.  This equates to a reduction in </w:t>
      </w:r>
      <w:r w:rsidR="0050490B" w:rsidRPr="006757FC">
        <w:rPr>
          <w:rFonts w:ascii="Calibri" w:eastAsia="Cambria" w:hAnsi="Calibri"/>
          <w:color w:val="000000" w:themeColor="text1"/>
          <w:szCs w:val="22"/>
          <w:lang w:val="en-GB"/>
        </w:rPr>
        <w:t xml:space="preserve">return </w:t>
      </w:r>
      <w:r w:rsidR="00395C8B" w:rsidRPr="006757FC">
        <w:rPr>
          <w:rFonts w:ascii="Calibri" w:eastAsia="Cambria" w:hAnsi="Calibri"/>
          <w:color w:val="000000" w:themeColor="text1"/>
          <w:szCs w:val="22"/>
          <w:lang w:val="en-GB"/>
        </w:rPr>
        <w:t>of £</w:t>
      </w:r>
      <w:r w:rsidRPr="006757FC">
        <w:rPr>
          <w:rFonts w:ascii="Calibri" w:hAnsi="Calibri"/>
          <w:szCs w:val="22"/>
        </w:rPr>
        <w:t xml:space="preserve">63,006,918.99.  </w:t>
      </w:r>
    </w:p>
    <w:p w14:paraId="616879B5" w14:textId="64CCF5FB" w:rsidR="00C77B48" w:rsidRPr="006757FC" w:rsidRDefault="00C77B48">
      <w:pPr>
        <w:ind w:left="0"/>
        <w:rPr>
          <w:rFonts w:asciiTheme="minorHAnsi" w:hAnsiTheme="minorHAnsi"/>
          <w:szCs w:val="22"/>
        </w:rPr>
      </w:pPr>
      <w:r w:rsidRPr="006757FC">
        <w:rPr>
          <w:rFonts w:asciiTheme="minorHAnsi" w:hAnsiTheme="minorHAnsi"/>
          <w:i/>
          <w:szCs w:val="22"/>
        </w:rPr>
        <w:t>Put following information in where necessary</w:t>
      </w:r>
      <w:r w:rsidRPr="006757FC">
        <w:rPr>
          <w:rFonts w:asciiTheme="minorHAnsi" w:hAnsiTheme="minorHAnsi"/>
          <w:szCs w:val="22"/>
        </w:rPr>
        <w:t xml:space="preserve"> – </w:t>
      </w:r>
      <w:r w:rsidR="0050490B">
        <w:rPr>
          <w:rFonts w:asciiTheme="minorHAnsi" w:hAnsiTheme="minorHAnsi"/>
          <w:szCs w:val="22"/>
        </w:rPr>
        <w:t>The reason why this percentage may differ from the total percentage shown in the table above is because of the potential impact of charges on the</w:t>
      </w:r>
      <w:r w:rsidR="00AB3D58">
        <w:rPr>
          <w:rFonts w:asciiTheme="minorHAnsi" w:hAnsiTheme="minorHAnsi"/>
          <w:szCs w:val="22"/>
        </w:rPr>
        <w:t xml:space="preserve"> </w:t>
      </w:r>
      <w:r w:rsidR="0050490B">
        <w:rPr>
          <w:rFonts w:asciiTheme="minorHAnsi" w:hAnsiTheme="minorHAnsi"/>
          <w:szCs w:val="22"/>
        </w:rPr>
        <w:t>return you would have received if there had been no charges at all.</w:t>
      </w:r>
      <w:r w:rsidRPr="006757FC">
        <w:rPr>
          <w:rFonts w:asciiTheme="minorHAnsi" w:hAnsiTheme="minorHAnsi"/>
          <w:szCs w:val="22"/>
        </w:rPr>
        <w:br/>
      </w:r>
    </w:p>
    <w:p w14:paraId="32E22717" w14:textId="77777777" w:rsidR="00395C8B" w:rsidRPr="006960A2" w:rsidRDefault="00395C8B" w:rsidP="00894AA2">
      <w:pPr>
        <w:spacing w:after="160" w:line="259" w:lineRule="auto"/>
        <w:ind w:left="0"/>
        <w:jc w:val="both"/>
        <w:rPr>
          <w:rFonts w:asciiTheme="minorHAnsi" w:eastAsia="Cambria" w:hAnsiTheme="minorHAnsi"/>
          <w:color w:val="000000" w:themeColor="text1"/>
          <w:szCs w:val="22"/>
          <w:lang w:val="en-GB"/>
        </w:rPr>
      </w:pPr>
      <w:r w:rsidRPr="00B44661">
        <w:rPr>
          <w:rFonts w:asciiTheme="minorHAnsi" w:eastAsia="Cambria" w:hAnsiTheme="minorHAnsi"/>
          <w:i/>
          <w:color w:val="000000" w:themeColor="text1"/>
          <w:szCs w:val="22"/>
          <w:lang w:val="en-GB"/>
        </w:rPr>
        <w:t>Part of the total costs and charges incurred in the future may represent an amount in foreign currency. The following indicative currency translation rates have been used for the purpose of this ex-ante example: 12,000.00 USD @ 1.25 USD to GBP, 5,000.00 EUR @ 1.12 EUR to GBP.</w:t>
      </w:r>
      <w:r w:rsidRPr="006960A2">
        <w:rPr>
          <w:rFonts w:asciiTheme="minorHAnsi" w:eastAsia="Cambria" w:hAnsiTheme="minorHAnsi"/>
          <w:color w:val="000000" w:themeColor="text1"/>
          <w:szCs w:val="22"/>
          <w:lang w:val="en-GB"/>
        </w:rPr>
        <w:t xml:space="preserve"> </w:t>
      </w:r>
    </w:p>
    <w:p w14:paraId="29027639" w14:textId="77777777" w:rsidR="00395C8B" w:rsidRPr="00395C8B" w:rsidRDefault="00395C8B" w:rsidP="00395C8B">
      <w:pPr>
        <w:spacing w:after="160" w:line="259" w:lineRule="auto"/>
        <w:ind w:left="0"/>
        <w:rPr>
          <w:rFonts w:eastAsia="Cambria"/>
          <w:b/>
          <w:color w:val="FF0000"/>
          <w:sz w:val="16"/>
          <w:szCs w:val="16"/>
          <w:u w:val="single"/>
          <w:lang w:val="en-GB"/>
        </w:rPr>
      </w:pPr>
    </w:p>
    <w:p w14:paraId="31B18E75" w14:textId="35BE7770" w:rsidR="000045DA" w:rsidRPr="00072C06" w:rsidRDefault="000045DA" w:rsidP="000045DA">
      <w:pPr>
        <w:pStyle w:val="NoSpacing"/>
        <w:jc w:val="both"/>
        <w:rPr>
          <w:sz w:val="18"/>
          <w:szCs w:val="18"/>
        </w:rPr>
      </w:pPr>
    </w:p>
    <w:p w14:paraId="03B2F174" w14:textId="77777777" w:rsidR="000045DA" w:rsidRPr="00072C06" w:rsidRDefault="000045DA" w:rsidP="000045DA">
      <w:pPr>
        <w:pStyle w:val="NoSpacing"/>
        <w:jc w:val="both"/>
        <w:rPr>
          <w:sz w:val="10"/>
          <w:szCs w:val="10"/>
        </w:rPr>
      </w:pPr>
    </w:p>
    <w:p w14:paraId="52BA6CFE" w14:textId="77777777" w:rsidR="00A4591F" w:rsidRPr="00C77B48" w:rsidRDefault="00A4591F" w:rsidP="00C77B48">
      <w:pPr>
        <w:ind w:left="0"/>
        <w:jc w:val="both"/>
        <w:rPr>
          <w:rFonts w:asciiTheme="minorHAnsi" w:hAnsiTheme="minorHAnsi" w:cs="Arial"/>
          <w:iCs/>
          <w:szCs w:val="22"/>
        </w:rPr>
      </w:pPr>
    </w:p>
    <w:p w14:paraId="5DB5BE35" w14:textId="03857763" w:rsidR="000A1FF3" w:rsidRDefault="000A1FF3">
      <w:pPr>
        <w:spacing w:after="160" w:line="259" w:lineRule="auto"/>
        <w:ind w:left="0"/>
        <w:rPr>
          <w:rFonts w:asciiTheme="minorHAnsi" w:hAnsiTheme="minorHAnsi" w:cs="Arial"/>
          <w:b/>
          <w:iCs/>
          <w:szCs w:val="22"/>
          <w:u w:val="single"/>
        </w:rPr>
      </w:pPr>
    </w:p>
    <w:p w14:paraId="356E6815" w14:textId="25ECD9E4" w:rsidR="00A4591F" w:rsidRPr="00E3454A" w:rsidRDefault="00A4591F" w:rsidP="007D53AC">
      <w:pPr>
        <w:spacing w:line="276" w:lineRule="auto"/>
        <w:ind w:left="567"/>
        <w:jc w:val="both"/>
        <w:rPr>
          <w:rFonts w:asciiTheme="minorHAnsi" w:hAnsiTheme="minorHAnsi" w:cs="Arial"/>
          <w:iCs/>
          <w:szCs w:val="22"/>
        </w:rPr>
      </w:pPr>
      <w:r w:rsidRPr="00860409">
        <w:rPr>
          <w:rFonts w:asciiTheme="minorHAnsi" w:hAnsiTheme="minorHAnsi" w:cs="Arial"/>
          <w:b/>
          <w:iCs/>
          <w:szCs w:val="22"/>
          <w:u w:val="single"/>
        </w:rPr>
        <w:lastRenderedPageBreak/>
        <w:t>Illustration of cumulative effect of costs on return</w:t>
      </w:r>
      <w:r w:rsidRPr="00E3454A">
        <w:rPr>
          <w:rFonts w:asciiTheme="minorHAnsi" w:hAnsiTheme="minorHAnsi" w:cs="Arial"/>
          <w:iCs/>
          <w:szCs w:val="22"/>
        </w:rPr>
        <w:t xml:space="preserve"> – please see the </w:t>
      </w:r>
      <w:r w:rsidR="001578EB" w:rsidRPr="00EC5EBD">
        <w:rPr>
          <w:rFonts w:asciiTheme="minorHAnsi" w:hAnsiTheme="minorHAnsi" w:cs="Arial"/>
          <w:iCs/>
          <w:szCs w:val="22"/>
        </w:rPr>
        <w:t xml:space="preserve">Chapter </w:t>
      </w:r>
      <w:r w:rsidR="008D0671">
        <w:rPr>
          <w:rFonts w:asciiTheme="minorHAnsi" w:hAnsiTheme="minorHAnsi" w:cs="Arial"/>
          <w:iCs/>
          <w:szCs w:val="22"/>
        </w:rPr>
        <w:t>9</w:t>
      </w:r>
      <w:r w:rsidR="008D0671" w:rsidRPr="00E3454A">
        <w:rPr>
          <w:rFonts w:asciiTheme="minorHAnsi" w:hAnsiTheme="minorHAnsi" w:cs="Arial"/>
          <w:iCs/>
          <w:szCs w:val="22"/>
        </w:rPr>
        <w:t xml:space="preserve"> </w:t>
      </w:r>
      <w:r w:rsidRPr="00E3454A">
        <w:rPr>
          <w:rFonts w:asciiTheme="minorHAnsi" w:hAnsiTheme="minorHAnsi" w:cs="Arial"/>
          <w:iCs/>
          <w:szCs w:val="22"/>
        </w:rPr>
        <w:t xml:space="preserve">for details on our recommendations on the requirement to show an illustration showing the cumulative effect of costs on return when providing investment services on an </w:t>
      </w:r>
      <w:r w:rsidR="001578EB">
        <w:rPr>
          <w:rFonts w:asciiTheme="minorHAnsi" w:hAnsiTheme="minorHAnsi" w:cs="Arial"/>
          <w:iCs/>
          <w:szCs w:val="22"/>
        </w:rPr>
        <w:t>E</w:t>
      </w:r>
      <w:r w:rsidRPr="00E3454A">
        <w:rPr>
          <w:rFonts w:asciiTheme="minorHAnsi" w:hAnsiTheme="minorHAnsi" w:cs="Arial"/>
          <w:iCs/>
          <w:szCs w:val="22"/>
        </w:rPr>
        <w:t>x-</w:t>
      </w:r>
      <w:r w:rsidR="001578EB">
        <w:rPr>
          <w:rFonts w:asciiTheme="minorHAnsi" w:hAnsiTheme="minorHAnsi" w:cs="Arial"/>
          <w:iCs/>
          <w:szCs w:val="22"/>
        </w:rPr>
        <w:t>A</w:t>
      </w:r>
      <w:r w:rsidRPr="00E3454A">
        <w:rPr>
          <w:rFonts w:asciiTheme="minorHAnsi" w:hAnsiTheme="minorHAnsi" w:cs="Arial"/>
          <w:iCs/>
          <w:szCs w:val="22"/>
        </w:rPr>
        <w:t>nte basis.</w:t>
      </w:r>
    </w:p>
    <w:p w14:paraId="679BAF57" w14:textId="77777777" w:rsidR="00A4591F" w:rsidRPr="00A14F30" w:rsidRDefault="00A4591F" w:rsidP="007D53AC">
      <w:pPr>
        <w:spacing w:line="276" w:lineRule="auto"/>
        <w:ind w:left="567"/>
        <w:jc w:val="both"/>
        <w:rPr>
          <w:rFonts w:asciiTheme="minorHAnsi" w:hAnsiTheme="minorHAnsi" w:cs="Arial"/>
          <w:iCs/>
          <w:szCs w:val="22"/>
        </w:rPr>
      </w:pPr>
    </w:p>
    <w:p w14:paraId="5AA281E8" w14:textId="0A6FB63B" w:rsidR="00A4591F" w:rsidRPr="00E3454A" w:rsidRDefault="008D0671" w:rsidP="007D53AC">
      <w:pPr>
        <w:spacing w:line="276" w:lineRule="auto"/>
        <w:ind w:left="567"/>
        <w:jc w:val="both"/>
        <w:rPr>
          <w:rFonts w:asciiTheme="minorHAnsi" w:hAnsiTheme="minorHAnsi" w:cs="Arial"/>
          <w:iCs/>
          <w:szCs w:val="22"/>
        </w:rPr>
      </w:pPr>
      <w:r>
        <w:rPr>
          <w:rFonts w:asciiTheme="minorHAnsi" w:hAnsiTheme="minorHAnsi" w:cs="Arial"/>
          <w:iCs/>
          <w:szCs w:val="22"/>
        </w:rPr>
        <w:t>Additionally, t</w:t>
      </w:r>
      <w:r w:rsidRPr="00E3454A">
        <w:rPr>
          <w:rFonts w:asciiTheme="minorHAnsi" w:hAnsiTheme="minorHAnsi" w:cs="Arial"/>
          <w:iCs/>
          <w:szCs w:val="22"/>
        </w:rPr>
        <w:t xml:space="preserve">he </w:t>
      </w:r>
      <w:r w:rsidR="00A4591F" w:rsidRPr="00E3454A">
        <w:rPr>
          <w:rFonts w:asciiTheme="minorHAnsi" w:hAnsiTheme="minorHAnsi" w:cs="Arial"/>
          <w:iCs/>
          <w:szCs w:val="22"/>
        </w:rPr>
        <w:t xml:space="preserve">ESMA </w:t>
      </w:r>
      <w:r w:rsidR="00B20A6E">
        <w:rPr>
          <w:rFonts w:asciiTheme="minorHAnsi" w:hAnsiTheme="minorHAnsi" w:cs="Arial"/>
          <w:iCs/>
          <w:szCs w:val="22"/>
        </w:rPr>
        <w:t xml:space="preserve">Investor Protection </w:t>
      </w:r>
      <w:r w:rsidR="00A4591F" w:rsidRPr="00E3454A">
        <w:rPr>
          <w:rFonts w:asciiTheme="minorHAnsi" w:hAnsiTheme="minorHAnsi" w:cs="Arial"/>
          <w:iCs/>
          <w:szCs w:val="22"/>
        </w:rPr>
        <w:t xml:space="preserve">Q&amp;A Q14 </w:t>
      </w:r>
      <w:r>
        <w:rPr>
          <w:rFonts w:asciiTheme="minorHAnsi" w:hAnsiTheme="minorHAnsi" w:cs="Arial"/>
          <w:iCs/>
          <w:szCs w:val="22"/>
        </w:rPr>
        <w:t xml:space="preserve">set out below </w:t>
      </w:r>
      <w:r w:rsidR="00A4591F" w:rsidRPr="00E3454A">
        <w:rPr>
          <w:rFonts w:asciiTheme="minorHAnsi" w:hAnsiTheme="minorHAnsi" w:cs="Arial"/>
          <w:iCs/>
          <w:szCs w:val="22"/>
        </w:rPr>
        <w:t xml:space="preserve">provides relevant guidance on how to approach </w:t>
      </w:r>
      <w:r w:rsidR="001578EB">
        <w:rPr>
          <w:rFonts w:asciiTheme="minorHAnsi" w:hAnsiTheme="minorHAnsi" w:cs="Arial"/>
          <w:iCs/>
          <w:szCs w:val="22"/>
        </w:rPr>
        <w:t>E</w:t>
      </w:r>
      <w:r w:rsidR="00A4591F" w:rsidRPr="00E3454A">
        <w:rPr>
          <w:rFonts w:asciiTheme="minorHAnsi" w:hAnsiTheme="minorHAnsi" w:cs="Arial"/>
          <w:iCs/>
          <w:szCs w:val="22"/>
        </w:rPr>
        <w:t>x-</w:t>
      </w:r>
      <w:r w:rsidR="001578EB">
        <w:rPr>
          <w:rFonts w:asciiTheme="minorHAnsi" w:hAnsiTheme="minorHAnsi" w:cs="Arial"/>
          <w:iCs/>
          <w:szCs w:val="22"/>
        </w:rPr>
        <w:t>A</w:t>
      </w:r>
      <w:r w:rsidR="00A4591F" w:rsidRPr="00E3454A">
        <w:rPr>
          <w:rFonts w:asciiTheme="minorHAnsi" w:hAnsiTheme="minorHAnsi" w:cs="Arial"/>
          <w:iCs/>
          <w:szCs w:val="22"/>
        </w:rPr>
        <w:t>nte disclosures.  The bits in bold are of particular relevance to the Ex-Ante DPM Disclosure:</w:t>
      </w:r>
    </w:p>
    <w:p w14:paraId="275E914D" w14:textId="77777777" w:rsidR="00A4591F" w:rsidRPr="00A14F30" w:rsidRDefault="00A4591F" w:rsidP="007D53AC">
      <w:pPr>
        <w:pStyle w:val="ListParagraph"/>
        <w:spacing w:line="276" w:lineRule="auto"/>
        <w:jc w:val="both"/>
        <w:rPr>
          <w:rFonts w:asciiTheme="minorHAnsi" w:hAnsiTheme="minorHAnsi" w:cs="Arial"/>
          <w:iCs/>
          <w:szCs w:val="22"/>
        </w:rPr>
      </w:pPr>
    </w:p>
    <w:p w14:paraId="71F8FFA6" w14:textId="77777777" w:rsidR="00A4591F" w:rsidRPr="00A14F30" w:rsidRDefault="00A4591F" w:rsidP="007D53AC">
      <w:pPr>
        <w:pStyle w:val="Default"/>
        <w:spacing w:line="276" w:lineRule="auto"/>
        <w:ind w:left="567"/>
        <w:jc w:val="both"/>
        <w:rPr>
          <w:rFonts w:asciiTheme="minorHAnsi" w:hAnsiTheme="minorHAnsi"/>
          <w:sz w:val="22"/>
          <w:szCs w:val="22"/>
        </w:rPr>
      </w:pPr>
      <w:r w:rsidRPr="00A14F30">
        <w:rPr>
          <w:rFonts w:asciiTheme="minorHAnsi" w:hAnsiTheme="minorHAnsi"/>
          <w:b/>
          <w:bCs/>
          <w:sz w:val="22"/>
          <w:szCs w:val="22"/>
        </w:rPr>
        <w:t xml:space="preserve">Question 14 [Last update: 6 June 2017] </w:t>
      </w:r>
    </w:p>
    <w:p w14:paraId="78748AD9" w14:textId="77777777" w:rsidR="00A4591F" w:rsidRPr="00A14F30" w:rsidRDefault="00A4591F" w:rsidP="007D53AC">
      <w:pPr>
        <w:pStyle w:val="Default"/>
        <w:spacing w:line="276" w:lineRule="auto"/>
        <w:ind w:left="567"/>
        <w:jc w:val="both"/>
        <w:rPr>
          <w:rFonts w:asciiTheme="minorHAnsi" w:hAnsiTheme="minorHAnsi"/>
          <w:sz w:val="22"/>
          <w:szCs w:val="22"/>
        </w:rPr>
      </w:pPr>
      <w:r w:rsidRPr="00A14F30">
        <w:rPr>
          <w:rFonts w:asciiTheme="minorHAnsi" w:hAnsiTheme="minorHAnsi"/>
          <w:i/>
          <w:iCs/>
          <w:sz w:val="22"/>
          <w:szCs w:val="22"/>
        </w:rPr>
        <w:t xml:space="preserve">How should investment firms provide ex-ante disclosure of information on costs and charges to clients when there is no available data on actually incurred costs? </w:t>
      </w:r>
    </w:p>
    <w:p w14:paraId="29FF974D" w14:textId="77777777" w:rsidR="00A4591F" w:rsidRPr="00A14F30" w:rsidRDefault="00A4591F" w:rsidP="007D53AC">
      <w:pPr>
        <w:pStyle w:val="Default"/>
        <w:spacing w:line="276" w:lineRule="auto"/>
        <w:ind w:left="567"/>
        <w:jc w:val="both"/>
        <w:rPr>
          <w:rFonts w:asciiTheme="minorHAnsi" w:hAnsiTheme="minorHAnsi"/>
          <w:sz w:val="22"/>
          <w:szCs w:val="22"/>
        </w:rPr>
      </w:pPr>
      <w:r w:rsidRPr="00A14F30">
        <w:rPr>
          <w:rFonts w:asciiTheme="minorHAnsi" w:hAnsiTheme="minorHAnsi"/>
          <w:b/>
          <w:bCs/>
          <w:sz w:val="22"/>
          <w:szCs w:val="22"/>
        </w:rPr>
        <w:br/>
        <w:t xml:space="preserve">Answer 14 </w:t>
      </w:r>
    </w:p>
    <w:p w14:paraId="4D5C312D" w14:textId="380DA23E" w:rsidR="00A4591F" w:rsidRPr="00A14F30" w:rsidRDefault="00A4591F" w:rsidP="005A6B31">
      <w:pPr>
        <w:pStyle w:val="Default"/>
        <w:spacing w:line="276" w:lineRule="auto"/>
        <w:ind w:left="567"/>
        <w:jc w:val="both"/>
        <w:rPr>
          <w:rFonts w:asciiTheme="minorHAnsi" w:hAnsiTheme="minorHAnsi"/>
          <w:b/>
          <w:sz w:val="22"/>
          <w:szCs w:val="22"/>
        </w:rPr>
      </w:pPr>
      <w:r w:rsidRPr="00A14F30">
        <w:rPr>
          <w:rFonts w:asciiTheme="minorHAnsi" w:hAnsiTheme="minorHAnsi"/>
          <w:sz w:val="22"/>
          <w:szCs w:val="22"/>
        </w:rPr>
        <w:t xml:space="preserve">Based on article 50(8) of the </w:t>
      </w:r>
      <w:r w:rsidR="00CC523E">
        <w:rPr>
          <w:rFonts w:asciiTheme="minorHAnsi" w:hAnsiTheme="minorHAnsi"/>
          <w:sz w:val="22"/>
          <w:szCs w:val="22"/>
        </w:rPr>
        <w:t>MiFID</w:t>
      </w:r>
      <w:r w:rsidRPr="00A14F30">
        <w:rPr>
          <w:rFonts w:asciiTheme="minorHAnsi" w:hAnsiTheme="minorHAnsi"/>
          <w:sz w:val="22"/>
          <w:szCs w:val="22"/>
        </w:rPr>
        <w:t xml:space="preserve"> II Delegated Regulation, when calculating costs and charges on an ex-ante basis, </w:t>
      </w:r>
      <w:r w:rsidRPr="00A14F30">
        <w:rPr>
          <w:rFonts w:asciiTheme="minorHAnsi" w:hAnsiTheme="minorHAnsi"/>
          <w:b/>
          <w:sz w:val="22"/>
          <w:szCs w:val="22"/>
        </w:rPr>
        <w:t xml:space="preserve">an investment firm shall use actually incurred costs as a proxy for the expected costs and charges. There may be circumstances where such data is not (entirely) available, for instance during the first year after </w:t>
      </w:r>
      <w:r w:rsidR="00CC523E">
        <w:rPr>
          <w:rFonts w:asciiTheme="minorHAnsi" w:hAnsiTheme="minorHAnsi"/>
          <w:b/>
          <w:sz w:val="22"/>
          <w:szCs w:val="22"/>
        </w:rPr>
        <w:t>MiFID</w:t>
      </w:r>
      <w:r w:rsidRPr="00A14F30">
        <w:rPr>
          <w:rFonts w:asciiTheme="minorHAnsi" w:hAnsiTheme="minorHAnsi"/>
          <w:b/>
          <w:sz w:val="22"/>
          <w:szCs w:val="22"/>
        </w:rPr>
        <w:t xml:space="preserve"> II has become effective, when an investment firm just started business or in the case of new clients. In these cases, the investment firm should make reasonable estimations of the expected costs and charges. </w:t>
      </w:r>
    </w:p>
    <w:p w14:paraId="64D75AC5" w14:textId="77777777" w:rsidR="00A4591F" w:rsidRPr="00A14F30" w:rsidRDefault="00A4591F" w:rsidP="007D53AC">
      <w:pPr>
        <w:pStyle w:val="Default"/>
        <w:spacing w:line="276" w:lineRule="auto"/>
        <w:ind w:left="360"/>
        <w:jc w:val="both"/>
        <w:rPr>
          <w:rFonts w:asciiTheme="minorHAnsi" w:hAnsiTheme="minorHAnsi"/>
          <w:sz w:val="22"/>
          <w:szCs w:val="22"/>
        </w:rPr>
      </w:pPr>
    </w:p>
    <w:p w14:paraId="34C22616" w14:textId="77777777" w:rsidR="00A4591F" w:rsidRDefault="00A4591F" w:rsidP="007D53AC">
      <w:pPr>
        <w:pStyle w:val="Default"/>
        <w:spacing w:line="276" w:lineRule="auto"/>
        <w:ind w:left="567"/>
        <w:jc w:val="both"/>
        <w:rPr>
          <w:rFonts w:asciiTheme="minorHAnsi" w:hAnsiTheme="minorHAnsi"/>
          <w:sz w:val="22"/>
          <w:szCs w:val="22"/>
        </w:rPr>
      </w:pPr>
      <w:r w:rsidRPr="00A14F30">
        <w:rPr>
          <w:rFonts w:asciiTheme="minorHAnsi" w:hAnsiTheme="minorHAnsi"/>
          <w:sz w:val="22"/>
          <w:szCs w:val="22"/>
        </w:rPr>
        <w:t xml:space="preserve">ESMA considers an </w:t>
      </w:r>
      <w:r w:rsidRPr="00A14F30">
        <w:rPr>
          <w:rFonts w:asciiTheme="minorHAnsi" w:hAnsiTheme="minorHAnsi"/>
          <w:b/>
          <w:sz w:val="22"/>
          <w:szCs w:val="22"/>
        </w:rPr>
        <w:t>estimation to be reasonable when it includes all variables that directly impact the costs and charges that are expected to be incurred by the client, using actual data to the extent available and making reasonable assumptions otherwise</w:t>
      </w:r>
      <w:r w:rsidRPr="00A14F30">
        <w:rPr>
          <w:rFonts w:asciiTheme="minorHAnsi" w:hAnsiTheme="minorHAnsi"/>
          <w:sz w:val="22"/>
          <w:szCs w:val="22"/>
        </w:rPr>
        <w:t xml:space="preserve">. Examples of such variables are in the case of executing a transaction: </w:t>
      </w:r>
    </w:p>
    <w:p w14:paraId="7C63D575" w14:textId="77777777" w:rsidR="004D3E25" w:rsidRPr="00A14F30" w:rsidRDefault="004D3E25" w:rsidP="007D53AC">
      <w:pPr>
        <w:pStyle w:val="Default"/>
        <w:spacing w:line="276" w:lineRule="auto"/>
        <w:ind w:left="567"/>
        <w:jc w:val="both"/>
        <w:rPr>
          <w:rFonts w:asciiTheme="minorHAnsi" w:hAnsiTheme="minorHAnsi"/>
          <w:sz w:val="22"/>
          <w:szCs w:val="22"/>
        </w:rPr>
      </w:pPr>
    </w:p>
    <w:p w14:paraId="173BF0C3" w14:textId="3838F8DE" w:rsidR="00A4591F" w:rsidRPr="00A14F30" w:rsidRDefault="001F5422" w:rsidP="007D53AC">
      <w:pPr>
        <w:pStyle w:val="Default"/>
        <w:numPr>
          <w:ilvl w:val="0"/>
          <w:numId w:val="8"/>
        </w:numPr>
        <w:spacing w:after="66" w:line="276" w:lineRule="auto"/>
        <w:ind w:left="567" w:firstLine="0"/>
        <w:jc w:val="both"/>
        <w:rPr>
          <w:rFonts w:asciiTheme="minorHAnsi" w:hAnsiTheme="minorHAnsi"/>
          <w:sz w:val="22"/>
          <w:szCs w:val="22"/>
        </w:rPr>
      </w:pPr>
      <w:r w:rsidRPr="00A14F30">
        <w:rPr>
          <w:rFonts w:asciiTheme="minorHAnsi" w:hAnsiTheme="minorHAnsi"/>
          <w:sz w:val="22"/>
          <w:szCs w:val="22"/>
        </w:rPr>
        <w:t>The</w:t>
      </w:r>
      <w:r w:rsidR="00A4591F" w:rsidRPr="00A14F30">
        <w:rPr>
          <w:rFonts w:asciiTheme="minorHAnsi" w:hAnsiTheme="minorHAnsi"/>
          <w:sz w:val="22"/>
          <w:szCs w:val="22"/>
        </w:rPr>
        <w:t xml:space="preserve"> type of financial instrument the client wants to buy or sell; </w:t>
      </w:r>
    </w:p>
    <w:p w14:paraId="7190295A" w14:textId="7CB02AF2" w:rsidR="00A4591F" w:rsidRPr="00A14F30" w:rsidRDefault="001F5422" w:rsidP="007D53AC">
      <w:pPr>
        <w:pStyle w:val="Default"/>
        <w:numPr>
          <w:ilvl w:val="0"/>
          <w:numId w:val="8"/>
        </w:numPr>
        <w:spacing w:after="66" w:line="276" w:lineRule="auto"/>
        <w:ind w:left="567" w:firstLine="0"/>
        <w:jc w:val="both"/>
        <w:rPr>
          <w:rFonts w:asciiTheme="minorHAnsi" w:hAnsiTheme="minorHAnsi"/>
          <w:sz w:val="22"/>
          <w:szCs w:val="22"/>
        </w:rPr>
      </w:pPr>
      <w:r w:rsidRPr="00A14F30">
        <w:rPr>
          <w:rFonts w:asciiTheme="minorHAnsi" w:hAnsiTheme="minorHAnsi"/>
          <w:sz w:val="22"/>
          <w:szCs w:val="22"/>
        </w:rPr>
        <w:t>The</w:t>
      </w:r>
      <w:r w:rsidR="00A4591F" w:rsidRPr="00A14F30">
        <w:rPr>
          <w:rFonts w:asciiTheme="minorHAnsi" w:hAnsiTheme="minorHAnsi"/>
          <w:sz w:val="22"/>
          <w:szCs w:val="22"/>
        </w:rPr>
        <w:t xml:space="preserve"> cost of the financial instrument, if any; </w:t>
      </w:r>
    </w:p>
    <w:p w14:paraId="428F4A98" w14:textId="0D6C7F00" w:rsidR="00A4591F" w:rsidRPr="00A14F30" w:rsidRDefault="001F5422" w:rsidP="007D53AC">
      <w:pPr>
        <w:pStyle w:val="Default"/>
        <w:numPr>
          <w:ilvl w:val="0"/>
          <w:numId w:val="8"/>
        </w:numPr>
        <w:spacing w:after="66" w:line="276" w:lineRule="auto"/>
        <w:ind w:left="567" w:firstLine="0"/>
        <w:jc w:val="both"/>
        <w:rPr>
          <w:rFonts w:asciiTheme="minorHAnsi" w:hAnsiTheme="minorHAnsi"/>
          <w:sz w:val="22"/>
          <w:szCs w:val="22"/>
        </w:rPr>
      </w:pPr>
      <w:r w:rsidRPr="00A14F30">
        <w:rPr>
          <w:rFonts w:asciiTheme="minorHAnsi" w:hAnsiTheme="minorHAnsi"/>
          <w:sz w:val="22"/>
          <w:szCs w:val="22"/>
        </w:rPr>
        <w:t>The</w:t>
      </w:r>
      <w:r w:rsidR="00A4591F" w:rsidRPr="00A14F30">
        <w:rPr>
          <w:rFonts w:asciiTheme="minorHAnsi" w:hAnsiTheme="minorHAnsi"/>
          <w:sz w:val="22"/>
          <w:szCs w:val="22"/>
        </w:rPr>
        <w:t xml:space="preserve"> transaction size; </w:t>
      </w:r>
    </w:p>
    <w:p w14:paraId="0E2D8E73" w14:textId="1650EADC" w:rsidR="00A4591F" w:rsidRPr="00A14F30" w:rsidRDefault="001F5422" w:rsidP="007D53AC">
      <w:pPr>
        <w:pStyle w:val="Default"/>
        <w:numPr>
          <w:ilvl w:val="0"/>
          <w:numId w:val="8"/>
        </w:numPr>
        <w:spacing w:after="66" w:line="276" w:lineRule="auto"/>
        <w:ind w:left="567" w:firstLine="0"/>
        <w:jc w:val="both"/>
        <w:rPr>
          <w:rFonts w:asciiTheme="minorHAnsi" w:hAnsiTheme="minorHAnsi"/>
          <w:sz w:val="22"/>
          <w:szCs w:val="22"/>
        </w:rPr>
      </w:pPr>
      <w:r w:rsidRPr="00A14F30">
        <w:rPr>
          <w:rFonts w:asciiTheme="minorHAnsi" w:hAnsiTheme="minorHAnsi"/>
          <w:sz w:val="22"/>
          <w:szCs w:val="22"/>
        </w:rPr>
        <w:t>The</w:t>
      </w:r>
      <w:r w:rsidR="00A4591F" w:rsidRPr="00A14F30">
        <w:rPr>
          <w:rFonts w:asciiTheme="minorHAnsi" w:hAnsiTheme="minorHAnsi"/>
          <w:sz w:val="22"/>
          <w:szCs w:val="22"/>
        </w:rPr>
        <w:t xml:space="preserve"> commission that will be paid to the broker for executing the order; </w:t>
      </w:r>
    </w:p>
    <w:p w14:paraId="04BE9478" w14:textId="394EB4D1" w:rsidR="00A4591F" w:rsidRPr="00A14F30" w:rsidRDefault="001F5422" w:rsidP="007D53AC">
      <w:pPr>
        <w:pStyle w:val="Default"/>
        <w:numPr>
          <w:ilvl w:val="0"/>
          <w:numId w:val="8"/>
        </w:numPr>
        <w:spacing w:line="276" w:lineRule="auto"/>
        <w:ind w:left="567" w:firstLine="0"/>
        <w:jc w:val="both"/>
        <w:rPr>
          <w:rFonts w:asciiTheme="minorHAnsi" w:hAnsiTheme="minorHAnsi"/>
          <w:sz w:val="22"/>
          <w:szCs w:val="22"/>
        </w:rPr>
      </w:pPr>
      <w:r w:rsidRPr="00A14F30">
        <w:rPr>
          <w:rFonts w:asciiTheme="minorHAnsi" w:hAnsiTheme="minorHAnsi"/>
          <w:sz w:val="22"/>
          <w:szCs w:val="22"/>
        </w:rPr>
        <w:t>Stamp</w:t>
      </w:r>
      <w:r w:rsidR="00A4591F" w:rsidRPr="00A14F30">
        <w:rPr>
          <w:rFonts w:asciiTheme="minorHAnsi" w:hAnsiTheme="minorHAnsi"/>
          <w:sz w:val="22"/>
          <w:szCs w:val="22"/>
        </w:rPr>
        <w:t xml:space="preserve"> duty paid by the client </w:t>
      </w:r>
    </w:p>
    <w:p w14:paraId="1E526609" w14:textId="77777777" w:rsidR="00A4591F" w:rsidRPr="00A14F30" w:rsidRDefault="00A4591F" w:rsidP="007D53AC">
      <w:pPr>
        <w:pStyle w:val="Default"/>
        <w:spacing w:line="276" w:lineRule="auto"/>
        <w:ind w:left="567"/>
        <w:jc w:val="both"/>
        <w:rPr>
          <w:rFonts w:asciiTheme="minorHAnsi" w:hAnsiTheme="minorHAnsi"/>
          <w:sz w:val="22"/>
          <w:szCs w:val="22"/>
        </w:rPr>
      </w:pPr>
    </w:p>
    <w:p w14:paraId="5A2121B6" w14:textId="18D50CDB" w:rsidR="00A4591F" w:rsidRPr="00A14F30" w:rsidRDefault="00A4591F" w:rsidP="005A6B31">
      <w:pPr>
        <w:spacing w:line="276" w:lineRule="auto"/>
        <w:ind w:left="567"/>
        <w:jc w:val="both"/>
        <w:rPr>
          <w:rFonts w:asciiTheme="minorHAnsi" w:hAnsiTheme="minorHAnsi" w:cs="Arial"/>
          <w:b/>
        </w:rPr>
      </w:pPr>
      <w:r w:rsidRPr="00A14F30">
        <w:rPr>
          <w:rFonts w:asciiTheme="minorHAnsi" w:hAnsiTheme="minorHAnsi" w:cs="Arial"/>
          <w:b/>
        </w:rPr>
        <w:t xml:space="preserve">When the investment service provided to the client will involve an ongoing relationship, the </w:t>
      </w:r>
      <w:r w:rsidR="008D0671">
        <w:rPr>
          <w:rFonts w:asciiTheme="minorHAnsi" w:hAnsiTheme="minorHAnsi" w:cs="Arial"/>
          <w:b/>
        </w:rPr>
        <w:t>E</w:t>
      </w:r>
      <w:r w:rsidRPr="00A14F30">
        <w:rPr>
          <w:rFonts w:asciiTheme="minorHAnsi" w:hAnsiTheme="minorHAnsi" w:cs="Arial"/>
          <w:b/>
        </w:rPr>
        <w:t>x-</w:t>
      </w:r>
      <w:r w:rsidR="008D0671">
        <w:rPr>
          <w:rFonts w:asciiTheme="minorHAnsi" w:hAnsiTheme="minorHAnsi" w:cs="Arial"/>
          <w:b/>
        </w:rPr>
        <w:t>A</w:t>
      </w:r>
      <w:r w:rsidRPr="00A14F30">
        <w:rPr>
          <w:rFonts w:asciiTheme="minorHAnsi" w:hAnsiTheme="minorHAnsi" w:cs="Arial"/>
          <w:b/>
        </w:rPr>
        <w:t>nte cost estimation would need to cover a certain period. In this case the investment firm would be required to apply an additional set of forward looking assumptions on the client’s investment portfolio and the expected investment service(s). Examples are:</w:t>
      </w:r>
    </w:p>
    <w:p w14:paraId="44173708" w14:textId="77777777" w:rsidR="00A4591F" w:rsidRPr="00A14F30" w:rsidRDefault="00A4591F" w:rsidP="007D53AC">
      <w:pPr>
        <w:pStyle w:val="Default"/>
        <w:spacing w:line="276" w:lineRule="auto"/>
        <w:ind w:left="567"/>
        <w:jc w:val="both"/>
        <w:rPr>
          <w:rFonts w:asciiTheme="minorHAnsi" w:hAnsiTheme="minorHAnsi"/>
          <w:sz w:val="22"/>
          <w:szCs w:val="22"/>
        </w:rPr>
      </w:pPr>
    </w:p>
    <w:p w14:paraId="49A707AC" w14:textId="1B7B86ED" w:rsidR="00A4591F" w:rsidRPr="00A14F30" w:rsidRDefault="001F5422" w:rsidP="007D53AC">
      <w:pPr>
        <w:pStyle w:val="Default"/>
        <w:numPr>
          <w:ilvl w:val="0"/>
          <w:numId w:val="9"/>
        </w:numPr>
        <w:spacing w:after="67" w:line="276" w:lineRule="auto"/>
        <w:ind w:left="567" w:firstLine="0"/>
        <w:jc w:val="both"/>
        <w:rPr>
          <w:rFonts w:asciiTheme="minorHAnsi" w:hAnsiTheme="minorHAnsi"/>
          <w:sz w:val="22"/>
          <w:szCs w:val="22"/>
        </w:rPr>
      </w:pPr>
      <w:r w:rsidRPr="00A14F30">
        <w:rPr>
          <w:rFonts w:asciiTheme="minorHAnsi" w:hAnsiTheme="minorHAnsi"/>
          <w:sz w:val="22"/>
          <w:szCs w:val="22"/>
        </w:rPr>
        <w:t>The</w:t>
      </w:r>
      <w:r w:rsidR="00A4591F" w:rsidRPr="00A14F30">
        <w:rPr>
          <w:rFonts w:asciiTheme="minorHAnsi" w:hAnsiTheme="minorHAnsi"/>
          <w:sz w:val="22"/>
          <w:szCs w:val="22"/>
        </w:rPr>
        <w:t xml:space="preserve"> duration of the client relationship or period covered by the ex-ante cost estimation; </w:t>
      </w:r>
    </w:p>
    <w:p w14:paraId="27DE1C31" w14:textId="6CF3F322" w:rsidR="00A4591F" w:rsidRPr="00A14F30" w:rsidRDefault="001F5422" w:rsidP="007D53AC">
      <w:pPr>
        <w:pStyle w:val="Default"/>
        <w:numPr>
          <w:ilvl w:val="0"/>
          <w:numId w:val="9"/>
        </w:numPr>
        <w:spacing w:after="67" w:line="276" w:lineRule="auto"/>
        <w:ind w:left="567" w:firstLine="0"/>
        <w:jc w:val="both"/>
        <w:rPr>
          <w:rFonts w:asciiTheme="minorHAnsi" w:hAnsiTheme="minorHAnsi"/>
          <w:sz w:val="22"/>
          <w:szCs w:val="22"/>
        </w:rPr>
      </w:pPr>
      <w:r w:rsidRPr="00A14F30">
        <w:rPr>
          <w:rFonts w:asciiTheme="minorHAnsi" w:hAnsiTheme="minorHAnsi"/>
          <w:sz w:val="22"/>
          <w:szCs w:val="22"/>
        </w:rPr>
        <w:t>The</w:t>
      </w:r>
      <w:r w:rsidR="00A4591F" w:rsidRPr="00A14F30">
        <w:rPr>
          <w:rFonts w:asciiTheme="minorHAnsi" w:hAnsiTheme="minorHAnsi"/>
          <w:sz w:val="22"/>
          <w:szCs w:val="22"/>
        </w:rPr>
        <w:t xml:space="preserve"> average invested amount; </w:t>
      </w:r>
    </w:p>
    <w:p w14:paraId="0EEC3AF4" w14:textId="65C352AA" w:rsidR="00A4591F" w:rsidRPr="00A14F30" w:rsidRDefault="001F5422" w:rsidP="007D53AC">
      <w:pPr>
        <w:pStyle w:val="Default"/>
        <w:numPr>
          <w:ilvl w:val="0"/>
          <w:numId w:val="9"/>
        </w:numPr>
        <w:spacing w:after="67" w:line="276" w:lineRule="auto"/>
        <w:ind w:left="567" w:firstLine="0"/>
        <w:jc w:val="both"/>
        <w:rPr>
          <w:rFonts w:asciiTheme="minorHAnsi" w:hAnsiTheme="minorHAnsi"/>
          <w:sz w:val="22"/>
          <w:szCs w:val="22"/>
        </w:rPr>
      </w:pPr>
      <w:r w:rsidRPr="00A14F30">
        <w:rPr>
          <w:rFonts w:asciiTheme="minorHAnsi" w:hAnsiTheme="minorHAnsi"/>
          <w:sz w:val="22"/>
          <w:szCs w:val="22"/>
        </w:rPr>
        <w:t>Financial</w:t>
      </w:r>
      <w:r w:rsidR="00A4591F" w:rsidRPr="00A14F30">
        <w:rPr>
          <w:rFonts w:asciiTheme="minorHAnsi" w:hAnsiTheme="minorHAnsi"/>
          <w:sz w:val="22"/>
          <w:szCs w:val="22"/>
        </w:rPr>
        <w:t xml:space="preserve"> instruments that will be included in the portfolio; </w:t>
      </w:r>
    </w:p>
    <w:p w14:paraId="179E4A21" w14:textId="11473294" w:rsidR="00A4591F" w:rsidRPr="00A14F30" w:rsidRDefault="001F5422" w:rsidP="007D53AC">
      <w:pPr>
        <w:pStyle w:val="Default"/>
        <w:numPr>
          <w:ilvl w:val="0"/>
          <w:numId w:val="9"/>
        </w:numPr>
        <w:spacing w:after="67" w:line="276" w:lineRule="auto"/>
        <w:ind w:left="567" w:firstLine="0"/>
        <w:jc w:val="both"/>
        <w:rPr>
          <w:rFonts w:asciiTheme="minorHAnsi" w:hAnsiTheme="minorHAnsi"/>
          <w:sz w:val="22"/>
          <w:szCs w:val="22"/>
        </w:rPr>
      </w:pPr>
      <w:r w:rsidRPr="00A14F30">
        <w:rPr>
          <w:rFonts w:asciiTheme="minorHAnsi" w:hAnsiTheme="minorHAnsi"/>
          <w:sz w:val="22"/>
          <w:szCs w:val="22"/>
        </w:rPr>
        <w:t>Characteristics</w:t>
      </w:r>
      <w:r w:rsidR="00A4591F" w:rsidRPr="00A14F30">
        <w:rPr>
          <w:rFonts w:asciiTheme="minorHAnsi" w:hAnsiTheme="minorHAnsi"/>
          <w:sz w:val="22"/>
          <w:szCs w:val="22"/>
        </w:rPr>
        <w:t xml:space="preserve"> of transactions that will be performed by or on behalf of the client. </w:t>
      </w:r>
      <w:r w:rsidR="00A4591F" w:rsidRPr="00A14F30">
        <w:rPr>
          <w:rFonts w:asciiTheme="minorHAnsi" w:hAnsiTheme="minorHAnsi"/>
          <w:sz w:val="22"/>
          <w:szCs w:val="22"/>
        </w:rPr>
        <w:br/>
      </w:r>
    </w:p>
    <w:p w14:paraId="2E8EA344" w14:textId="44C75D32" w:rsidR="00A4591F" w:rsidRPr="004F55CD" w:rsidRDefault="00A4591F" w:rsidP="005A6B31">
      <w:pPr>
        <w:spacing w:line="276" w:lineRule="auto"/>
        <w:ind w:left="567"/>
        <w:jc w:val="both"/>
        <w:rPr>
          <w:rFonts w:asciiTheme="minorHAnsi" w:hAnsiTheme="minorHAnsi" w:cs="Arial"/>
        </w:rPr>
      </w:pPr>
      <w:r w:rsidRPr="004F55CD">
        <w:rPr>
          <w:rFonts w:asciiTheme="minorHAnsi" w:hAnsiTheme="minorHAnsi" w:cs="Arial"/>
        </w:rPr>
        <w:lastRenderedPageBreak/>
        <w:t xml:space="preserve">In line with recital 78 of the </w:t>
      </w:r>
      <w:r w:rsidR="00CC523E">
        <w:rPr>
          <w:rFonts w:asciiTheme="minorHAnsi" w:hAnsiTheme="minorHAnsi" w:cs="Arial"/>
        </w:rPr>
        <w:t>MiFID</w:t>
      </w:r>
      <w:r w:rsidRPr="004F55CD">
        <w:rPr>
          <w:rFonts w:asciiTheme="minorHAnsi" w:hAnsiTheme="minorHAnsi" w:cs="Arial"/>
        </w:rPr>
        <w:t xml:space="preserve"> II Delegated Regulation, investment firms should disclose the costs associated with the products and the service the client intends to subscribe to.</w:t>
      </w:r>
      <w:r w:rsidR="005A6B31">
        <w:rPr>
          <w:rFonts w:asciiTheme="minorHAnsi" w:hAnsiTheme="minorHAnsi" w:cs="Arial"/>
        </w:rPr>
        <w:t xml:space="preserve"> </w:t>
      </w:r>
      <w:r w:rsidRPr="004F55CD">
        <w:rPr>
          <w:rFonts w:asciiTheme="minorHAnsi" w:hAnsiTheme="minorHAnsi" w:cs="Arial"/>
        </w:rPr>
        <w:t xml:space="preserve"> In the case of potential clients, adapting the information may only be possible when the potential client has engaged with the investment firm. Until then, investment firms could disclose generic ex-ante information on costs and charges using other means, such as disclosing costs and charges for several examples of investor types, providing online access to interactive cost calculation tools or providing cost tables that include multiple investment scenarios.</w:t>
      </w:r>
    </w:p>
    <w:p w14:paraId="311A21EC" w14:textId="77777777" w:rsidR="00A4591F" w:rsidRPr="004F55CD" w:rsidRDefault="00A4591F" w:rsidP="005A6B31">
      <w:pPr>
        <w:spacing w:line="276" w:lineRule="auto"/>
        <w:ind w:left="567"/>
        <w:rPr>
          <w:rFonts w:asciiTheme="minorHAnsi" w:hAnsiTheme="minorHAnsi" w:cs="Arial"/>
        </w:rPr>
      </w:pPr>
    </w:p>
    <w:p w14:paraId="529439BE" w14:textId="06D4A280" w:rsidR="00A4591F" w:rsidRDefault="00A4591F" w:rsidP="005A6B31">
      <w:pPr>
        <w:spacing w:line="276" w:lineRule="auto"/>
        <w:ind w:left="567"/>
        <w:jc w:val="both"/>
        <w:rPr>
          <w:rFonts w:asciiTheme="minorHAnsi" w:hAnsiTheme="minorHAnsi" w:cs="Arial"/>
          <w:b/>
          <w:szCs w:val="22"/>
        </w:rPr>
      </w:pPr>
      <w:r w:rsidRPr="004F55CD">
        <w:rPr>
          <w:rFonts w:asciiTheme="minorHAnsi" w:hAnsiTheme="minorHAnsi" w:cs="Arial"/>
          <w:b/>
        </w:rPr>
        <w:t xml:space="preserve">In any case, the firm should provide the </w:t>
      </w:r>
      <w:r w:rsidR="0093650B">
        <w:rPr>
          <w:rFonts w:asciiTheme="minorHAnsi" w:hAnsiTheme="minorHAnsi" w:cs="Arial"/>
          <w:b/>
        </w:rPr>
        <w:t>E</w:t>
      </w:r>
      <w:r w:rsidRPr="004F55CD">
        <w:rPr>
          <w:rFonts w:asciiTheme="minorHAnsi" w:hAnsiTheme="minorHAnsi" w:cs="Arial"/>
          <w:b/>
        </w:rPr>
        <w:t>x-</w:t>
      </w:r>
      <w:r w:rsidR="0093650B">
        <w:rPr>
          <w:rFonts w:asciiTheme="minorHAnsi" w:hAnsiTheme="minorHAnsi" w:cs="Arial"/>
          <w:b/>
        </w:rPr>
        <w:t>A</w:t>
      </w:r>
      <w:r w:rsidRPr="004F55CD">
        <w:rPr>
          <w:rFonts w:asciiTheme="minorHAnsi" w:hAnsiTheme="minorHAnsi" w:cs="Arial"/>
          <w:b/>
        </w:rPr>
        <w:t>nte information in good time and clearly disclose the underlying assumptions as well as the fact that its presented</w:t>
      </w:r>
      <w:r w:rsidRPr="00292452">
        <w:rPr>
          <w:rFonts w:cs="Arial"/>
          <w:b/>
        </w:rPr>
        <w:t xml:space="preserve"> </w:t>
      </w:r>
      <w:r w:rsidRPr="00A14F30">
        <w:rPr>
          <w:rFonts w:asciiTheme="minorHAnsi" w:hAnsiTheme="minorHAnsi" w:cs="Arial"/>
          <w:b/>
          <w:szCs w:val="22"/>
        </w:rPr>
        <w:t>cost figures were calculated on a best effort basis due to the fact that historical data were not available, where relevant.</w:t>
      </w:r>
    </w:p>
    <w:p w14:paraId="4DD2E78B" w14:textId="77777777" w:rsidR="00C9615B" w:rsidRPr="00A14F30" w:rsidRDefault="00C9615B" w:rsidP="005A6B31">
      <w:pPr>
        <w:spacing w:line="276" w:lineRule="auto"/>
        <w:ind w:left="567"/>
        <w:jc w:val="both"/>
        <w:rPr>
          <w:rFonts w:asciiTheme="minorHAnsi" w:hAnsiTheme="minorHAnsi" w:cs="Arial"/>
          <w:b/>
          <w:szCs w:val="22"/>
        </w:rPr>
      </w:pPr>
    </w:p>
    <w:p w14:paraId="4D7ECA5A" w14:textId="3E527C65" w:rsidR="00B21453" w:rsidRDefault="00B21453" w:rsidP="005A6B31">
      <w:pPr>
        <w:pStyle w:val="Heading2"/>
        <w:spacing w:before="0" w:line="276" w:lineRule="auto"/>
      </w:pPr>
      <w:bookmarkStart w:id="378" w:name="_Toc366502080"/>
      <w:bookmarkStart w:id="379" w:name="_Toc369907859"/>
      <w:bookmarkStart w:id="380" w:name="_Toc370052377"/>
      <w:bookmarkStart w:id="381" w:name="_Toc372234525"/>
      <w:bookmarkStart w:id="382" w:name="_Toc395871053"/>
      <w:bookmarkStart w:id="383" w:name="_Toc409468220"/>
      <w:bookmarkStart w:id="384" w:name="_Toc364343144"/>
      <w:bookmarkStart w:id="385" w:name="_Toc364343330"/>
      <w:bookmarkStart w:id="386" w:name="_Toc364343689"/>
      <w:bookmarkStart w:id="387" w:name="_Toc364635754"/>
      <w:bookmarkStart w:id="388" w:name="_Toc364636146"/>
      <w:bookmarkStart w:id="389" w:name="_Toc364636582"/>
      <w:r>
        <w:t>A</w:t>
      </w:r>
      <w:r w:rsidR="00EE422A" w:rsidRPr="00C75B57">
        <w:t>llocat</w:t>
      </w:r>
      <w:r>
        <w:t>ing</w:t>
      </w:r>
      <w:r w:rsidR="00EE422A" w:rsidRPr="00C75B57">
        <w:t xml:space="preserve"> the different costs of a DPM service to the different cost categories in the template</w:t>
      </w:r>
      <w:bookmarkEnd w:id="378"/>
      <w:bookmarkEnd w:id="379"/>
      <w:bookmarkEnd w:id="380"/>
      <w:bookmarkEnd w:id="381"/>
      <w:bookmarkEnd w:id="382"/>
      <w:bookmarkEnd w:id="383"/>
      <w:r w:rsidR="00EE422A" w:rsidRPr="00C75B57">
        <w:t xml:space="preserve"> </w:t>
      </w:r>
    </w:p>
    <w:bookmarkEnd w:id="384"/>
    <w:bookmarkEnd w:id="385"/>
    <w:bookmarkEnd w:id="386"/>
    <w:bookmarkEnd w:id="387"/>
    <w:bookmarkEnd w:id="388"/>
    <w:bookmarkEnd w:id="389"/>
    <w:p w14:paraId="00444D6C" w14:textId="0E0D22EC" w:rsidR="00EE422A" w:rsidRPr="00C75B57" w:rsidRDefault="00EE422A" w:rsidP="00EC5EBD">
      <w:pPr>
        <w:pStyle w:val="Heading2"/>
        <w:numPr>
          <w:ilvl w:val="0"/>
          <w:numId w:val="0"/>
        </w:numPr>
        <w:spacing w:before="0" w:line="276" w:lineRule="auto"/>
      </w:pPr>
    </w:p>
    <w:p w14:paraId="47EDDA9D" w14:textId="77777777" w:rsidR="00B21453" w:rsidRPr="00EC5EBD" w:rsidRDefault="00B21453" w:rsidP="007D53AC">
      <w:pPr>
        <w:spacing w:line="276" w:lineRule="auto"/>
        <w:ind w:left="576"/>
        <w:rPr>
          <w:rFonts w:asciiTheme="minorHAnsi" w:hAnsiTheme="minorHAnsi"/>
        </w:rPr>
      </w:pPr>
      <w:r w:rsidRPr="00EC5EBD">
        <w:rPr>
          <w:rFonts w:asciiTheme="minorHAnsi" w:hAnsiTheme="minorHAnsi"/>
        </w:rPr>
        <w:t>How do you allocate the different costs of a DPM service to the different cost categories in the template and Annex II of the MiFID II Delegated Regulation?</w:t>
      </w:r>
    </w:p>
    <w:p w14:paraId="19F52EEB" w14:textId="77777777" w:rsidR="00B21453" w:rsidRDefault="00B21453" w:rsidP="007D53AC">
      <w:pPr>
        <w:spacing w:line="276" w:lineRule="auto"/>
        <w:ind w:left="576"/>
      </w:pPr>
    </w:p>
    <w:p w14:paraId="0C92F6F7" w14:textId="41D52CAD" w:rsidR="00C02C33" w:rsidRDefault="008D0671" w:rsidP="00894AA2">
      <w:pPr>
        <w:spacing w:line="276" w:lineRule="auto"/>
        <w:ind w:left="576"/>
        <w:jc w:val="both"/>
        <w:rPr>
          <w:rFonts w:asciiTheme="minorHAnsi" w:hAnsiTheme="minorHAnsi"/>
          <w:bCs/>
          <w:szCs w:val="22"/>
        </w:rPr>
      </w:pPr>
      <w:r>
        <w:rPr>
          <w:rFonts w:asciiTheme="minorHAnsi" w:hAnsiTheme="minorHAnsi"/>
          <w:bCs/>
          <w:szCs w:val="22"/>
        </w:rPr>
        <w:t>A challenge exists with regards to</w:t>
      </w:r>
      <w:r w:rsidR="00EE422A" w:rsidRPr="00EE422A">
        <w:rPr>
          <w:rFonts w:asciiTheme="minorHAnsi" w:hAnsiTheme="minorHAnsi"/>
          <w:bCs/>
          <w:szCs w:val="22"/>
        </w:rPr>
        <w:t xml:space="preserve"> where to put the different costs associated with providing a discretionary portfolio management </w:t>
      </w:r>
      <w:r w:rsidR="00EE422A">
        <w:rPr>
          <w:rFonts w:asciiTheme="minorHAnsi" w:hAnsiTheme="minorHAnsi"/>
          <w:bCs/>
          <w:szCs w:val="22"/>
        </w:rPr>
        <w:t>service</w:t>
      </w:r>
      <w:r w:rsidR="00A762C8">
        <w:rPr>
          <w:rFonts w:asciiTheme="minorHAnsi" w:hAnsiTheme="minorHAnsi"/>
          <w:bCs/>
          <w:szCs w:val="22"/>
        </w:rPr>
        <w:t xml:space="preserve">. The general principle is that the costs of providing the </w:t>
      </w:r>
      <w:r w:rsidR="00C02C33" w:rsidRPr="00EE422A">
        <w:rPr>
          <w:rFonts w:asciiTheme="minorHAnsi" w:hAnsiTheme="minorHAnsi"/>
          <w:bCs/>
          <w:szCs w:val="22"/>
        </w:rPr>
        <w:t xml:space="preserve">discretionary portfolio management </w:t>
      </w:r>
      <w:r w:rsidR="00A762C8">
        <w:rPr>
          <w:rFonts w:asciiTheme="minorHAnsi" w:hAnsiTheme="minorHAnsi"/>
          <w:bCs/>
          <w:szCs w:val="22"/>
        </w:rPr>
        <w:t>service, for example</w:t>
      </w:r>
      <w:r w:rsidR="007E492D">
        <w:rPr>
          <w:rFonts w:asciiTheme="minorHAnsi" w:hAnsiTheme="minorHAnsi"/>
          <w:bCs/>
          <w:szCs w:val="22"/>
        </w:rPr>
        <w:t xml:space="preserve"> (but not limited to)</w:t>
      </w:r>
      <w:r w:rsidR="00C75B57">
        <w:rPr>
          <w:rFonts w:asciiTheme="minorHAnsi" w:hAnsiTheme="minorHAnsi"/>
          <w:bCs/>
          <w:szCs w:val="22"/>
        </w:rPr>
        <w:t>,</w:t>
      </w:r>
      <w:r w:rsidR="00C02C33">
        <w:rPr>
          <w:rFonts w:asciiTheme="minorHAnsi" w:hAnsiTheme="minorHAnsi"/>
          <w:bCs/>
          <w:szCs w:val="22"/>
        </w:rPr>
        <w:t xml:space="preserve"> the investment manager’s</w:t>
      </w:r>
      <w:r w:rsidR="00A762C8">
        <w:rPr>
          <w:rFonts w:asciiTheme="minorHAnsi" w:hAnsiTheme="minorHAnsi"/>
          <w:bCs/>
          <w:szCs w:val="22"/>
        </w:rPr>
        <w:t xml:space="preserve"> annual management charge, </w:t>
      </w:r>
      <w:r w:rsidR="00C02C33">
        <w:rPr>
          <w:rFonts w:asciiTheme="minorHAnsi" w:hAnsiTheme="minorHAnsi"/>
          <w:bCs/>
          <w:szCs w:val="22"/>
        </w:rPr>
        <w:t xml:space="preserve">performance fees, </w:t>
      </w:r>
      <w:r w:rsidR="00A762C8">
        <w:rPr>
          <w:rFonts w:asciiTheme="minorHAnsi" w:hAnsiTheme="minorHAnsi"/>
          <w:bCs/>
          <w:szCs w:val="22"/>
        </w:rPr>
        <w:t>and</w:t>
      </w:r>
      <w:r w:rsidR="00C02C33">
        <w:rPr>
          <w:rFonts w:asciiTheme="minorHAnsi" w:hAnsiTheme="minorHAnsi"/>
          <w:bCs/>
          <w:szCs w:val="22"/>
        </w:rPr>
        <w:t xml:space="preserve"> the cost of</w:t>
      </w:r>
      <w:r w:rsidR="00A762C8">
        <w:rPr>
          <w:rFonts w:asciiTheme="minorHAnsi" w:hAnsiTheme="minorHAnsi"/>
          <w:bCs/>
          <w:szCs w:val="22"/>
        </w:rPr>
        <w:t xml:space="preserve"> buying and selling the</w:t>
      </w:r>
      <w:r w:rsidR="00C02C33">
        <w:rPr>
          <w:rFonts w:asciiTheme="minorHAnsi" w:hAnsiTheme="minorHAnsi"/>
          <w:bCs/>
          <w:szCs w:val="22"/>
        </w:rPr>
        <w:t xml:space="preserve"> financial</w:t>
      </w:r>
      <w:r w:rsidR="00A762C8">
        <w:rPr>
          <w:rFonts w:asciiTheme="minorHAnsi" w:hAnsiTheme="minorHAnsi"/>
          <w:bCs/>
          <w:szCs w:val="22"/>
        </w:rPr>
        <w:t xml:space="preserve"> instruments within the portfolio, are to be disclosed in the “service costs” section of the template</w:t>
      </w:r>
      <w:r w:rsidR="00C02C33">
        <w:rPr>
          <w:rFonts w:asciiTheme="minorHAnsi" w:hAnsiTheme="minorHAnsi"/>
          <w:bCs/>
          <w:szCs w:val="22"/>
        </w:rPr>
        <w:t>.</w:t>
      </w:r>
    </w:p>
    <w:p w14:paraId="0083921C" w14:textId="77777777" w:rsidR="00C9615B" w:rsidRDefault="00C9615B" w:rsidP="00894AA2">
      <w:pPr>
        <w:spacing w:line="276" w:lineRule="auto"/>
        <w:ind w:left="576"/>
        <w:jc w:val="both"/>
        <w:rPr>
          <w:rFonts w:asciiTheme="minorHAnsi" w:hAnsiTheme="minorHAnsi"/>
          <w:bCs/>
          <w:szCs w:val="22"/>
        </w:rPr>
      </w:pPr>
    </w:p>
    <w:p w14:paraId="48F2E589" w14:textId="736C240A" w:rsidR="00C02C33" w:rsidRDefault="00C02C33" w:rsidP="00894AA2">
      <w:pPr>
        <w:spacing w:line="276" w:lineRule="auto"/>
        <w:ind w:left="576"/>
        <w:jc w:val="both"/>
        <w:rPr>
          <w:rFonts w:asciiTheme="minorHAnsi" w:hAnsiTheme="minorHAnsi"/>
          <w:bCs/>
          <w:szCs w:val="22"/>
        </w:rPr>
      </w:pPr>
      <w:r>
        <w:rPr>
          <w:rFonts w:asciiTheme="minorHAnsi" w:hAnsiTheme="minorHAnsi"/>
          <w:bCs/>
          <w:szCs w:val="22"/>
        </w:rPr>
        <w:t>In terms of the costs of financial instruments –</w:t>
      </w:r>
      <w:r w:rsidR="00B95B3F">
        <w:rPr>
          <w:rFonts w:asciiTheme="minorHAnsi" w:hAnsiTheme="minorHAnsi"/>
          <w:bCs/>
          <w:szCs w:val="22"/>
        </w:rPr>
        <w:t xml:space="preserve"> </w:t>
      </w:r>
      <w:r w:rsidR="001578EB">
        <w:rPr>
          <w:rFonts w:asciiTheme="minorHAnsi" w:hAnsiTheme="minorHAnsi"/>
          <w:bCs/>
          <w:szCs w:val="22"/>
        </w:rPr>
        <w:t>TISA’s view is that</w:t>
      </w:r>
      <w:r w:rsidR="0044182C">
        <w:rPr>
          <w:rFonts w:asciiTheme="minorHAnsi" w:hAnsiTheme="minorHAnsi"/>
          <w:bCs/>
          <w:szCs w:val="22"/>
        </w:rPr>
        <w:t xml:space="preserve"> the </w:t>
      </w:r>
      <w:r>
        <w:rPr>
          <w:rFonts w:asciiTheme="minorHAnsi" w:hAnsiTheme="minorHAnsi"/>
          <w:bCs/>
          <w:szCs w:val="22"/>
        </w:rPr>
        <w:t>transaction cost</w:t>
      </w:r>
      <w:r w:rsidR="00236083">
        <w:rPr>
          <w:rFonts w:asciiTheme="minorHAnsi" w:hAnsiTheme="minorHAnsi"/>
          <w:bCs/>
          <w:szCs w:val="22"/>
        </w:rPr>
        <w:t>s</w:t>
      </w:r>
      <w:r>
        <w:rPr>
          <w:rFonts w:asciiTheme="minorHAnsi" w:hAnsiTheme="minorHAnsi"/>
          <w:bCs/>
          <w:szCs w:val="22"/>
        </w:rPr>
        <w:t xml:space="preserve"> </w:t>
      </w:r>
      <w:r w:rsidR="00236083">
        <w:rPr>
          <w:rFonts w:asciiTheme="minorHAnsi" w:hAnsiTheme="minorHAnsi"/>
          <w:bCs/>
          <w:szCs w:val="22"/>
        </w:rPr>
        <w:t xml:space="preserve">(implicit and explicit) </w:t>
      </w:r>
      <w:r>
        <w:rPr>
          <w:rFonts w:asciiTheme="minorHAnsi" w:hAnsiTheme="minorHAnsi"/>
          <w:bCs/>
          <w:szCs w:val="22"/>
        </w:rPr>
        <w:t>of buying and selling the financial in</w:t>
      </w:r>
      <w:r w:rsidR="0044182C">
        <w:rPr>
          <w:rFonts w:asciiTheme="minorHAnsi" w:hAnsiTheme="minorHAnsi"/>
          <w:bCs/>
          <w:szCs w:val="22"/>
        </w:rPr>
        <w:t xml:space="preserve">struments within the portfolio are to be attributed to the service cost of the DPM portfolio.  We </w:t>
      </w:r>
      <w:r w:rsidR="00236083">
        <w:rPr>
          <w:rFonts w:asciiTheme="minorHAnsi" w:hAnsiTheme="minorHAnsi"/>
          <w:bCs/>
          <w:szCs w:val="22"/>
        </w:rPr>
        <w:t xml:space="preserve">recommend </w:t>
      </w:r>
      <w:r w:rsidR="0044182C">
        <w:rPr>
          <w:rFonts w:asciiTheme="minorHAnsi" w:hAnsiTheme="minorHAnsi"/>
          <w:bCs/>
          <w:szCs w:val="22"/>
        </w:rPr>
        <w:t xml:space="preserve">that all other costs of financial instruments </w:t>
      </w:r>
      <w:r w:rsidR="00860409">
        <w:rPr>
          <w:rFonts w:asciiTheme="minorHAnsi" w:hAnsiTheme="minorHAnsi"/>
          <w:bCs/>
          <w:szCs w:val="22"/>
        </w:rPr>
        <w:t xml:space="preserve">(where they exist) </w:t>
      </w:r>
      <w:r w:rsidR="0044182C">
        <w:rPr>
          <w:rFonts w:asciiTheme="minorHAnsi" w:hAnsiTheme="minorHAnsi"/>
          <w:bCs/>
          <w:szCs w:val="22"/>
        </w:rPr>
        <w:t xml:space="preserve">(for example, an underlying fund’s ongoing charges and transaction costs) </w:t>
      </w:r>
      <w:r w:rsidR="001F5422">
        <w:rPr>
          <w:rFonts w:asciiTheme="minorHAnsi" w:hAnsiTheme="minorHAnsi"/>
          <w:bCs/>
          <w:szCs w:val="22"/>
        </w:rPr>
        <w:t>be</w:t>
      </w:r>
      <w:r w:rsidR="0044182C">
        <w:rPr>
          <w:rFonts w:asciiTheme="minorHAnsi" w:hAnsiTheme="minorHAnsi"/>
          <w:bCs/>
          <w:szCs w:val="22"/>
        </w:rPr>
        <w:t xml:space="preserve"> to be disclosed in the “product costs” section of the DPM Ex-Ante template.</w:t>
      </w:r>
    </w:p>
    <w:p w14:paraId="0E4BBC31" w14:textId="77777777" w:rsidR="005A6B31" w:rsidRDefault="005A6B31" w:rsidP="00894AA2">
      <w:pPr>
        <w:spacing w:line="276" w:lineRule="auto"/>
        <w:ind w:left="576"/>
        <w:jc w:val="both"/>
        <w:rPr>
          <w:rFonts w:asciiTheme="minorHAnsi" w:hAnsiTheme="minorHAnsi"/>
          <w:bCs/>
          <w:szCs w:val="22"/>
        </w:rPr>
      </w:pPr>
    </w:p>
    <w:p w14:paraId="30B8E718" w14:textId="35E54F04" w:rsidR="00C9615B" w:rsidRDefault="00A762C8" w:rsidP="00894AA2">
      <w:pPr>
        <w:spacing w:line="276" w:lineRule="auto"/>
        <w:ind w:left="576"/>
        <w:jc w:val="both"/>
        <w:rPr>
          <w:rFonts w:asciiTheme="minorHAnsi" w:hAnsiTheme="minorHAnsi"/>
          <w:bCs/>
          <w:szCs w:val="22"/>
        </w:rPr>
      </w:pPr>
      <w:r>
        <w:rPr>
          <w:rFonts w:asciiTheme="minorHAnsi" w:hAnsiTheme="minorHAnsi"/>
          <w:bCs/>
          <w:szCs w:val="22"/>
        </w:rPr>
        <w:t xml:space="preserve">Please refer to </w:t>
      </w:r>
      <w:r w:rsidR="001578EB">
        <w:rPr>
          <w:rFonts w:asciiTheme="minorHAnsi" w:hAnsiTheme="minorHAnsi"/>
          <w:bCs/>
          <w:szCs w:val="22"/>
        </w:rPr>
        <w:t xml:space="preserve">Chapter </w:t>
      </w:r>
      <w:r w:rsidR="00B21453">
        <w:rPr>
          <w:rFonts w:asciiTheme="minorHAnsi" w:hAnsiTheme="minorHAnsi"/>
          <w:bCs/>
          <w:szCs w:val="22"/>
        </w:rPr>
        <w:t xml:space="preserve">7 </w:t>
      </w:r>
      <w:r>
        <w:rPr>
          <w:rFonts w:asciiTheme="minorHAnsi" w:hAnsiTheme="minorHAnsi"/>
          <w:bCs/>
          <w:szCs w:val="22"/>
        </w:rPr>
        <w:t>of this guide for further detail of what category particular costs and charges should be associated.</w:t>
      </w:r>
    </w:p>
    <w:p w14:paraId="6F313392" w14:textId="4DF2E1D7" w:rsidR="005C62EB" w:rsidRDefault="000B5CD9" w:rsidP="007A6E58">
      <w:pPr>
        <w:spacing w:line="276" w:lineRule="auto"/>
        <w:ind w:left="0"/>
        <w:rPr>
          <w:rFonts w:cstheme="minorHAnsi"/>
          <w:b/>
          <w:sz w:val="32"/>
        </w:rPr>
      </w:pPr>
      <w:r w:rsidRPr="00EE422A">
        <w:rPr>
          <w:rFonts w:asciiTheme="minorHAnsi" w:hAnsiTheme="minorHAnsi"/>
          <w:bCs/>
          <w:szCs w:val="22"/>
        </w:rPr>
        <w:br w:type="page"/>
      </w:r>
    </w:p>
    <w:p w14:paraId="37EF6D19" w14:textId="56641CD6" w:rsidR="00CD78E9" w:rsidRDefault="00CD78E9" w:rsidP="0063078E">
      <w:pPr>
        <w:pStyle w:val="Heading1"/>
        <w:rPr>
          <w:rFonts w:asciiTheme="minorHAnsi" w:hAnsiTheme="minorHAnsi"/>
          <w:b/>
          <w:bCs/>
          <w:color w:val="auto"/>
          <w:sz w:val="28"/>
          <w:szCs w:val="28"/>
        </w:rPr>
      </w:pPr>
      <w:bookmarkStart w:id="390" w:name="_Toc364343146"/>
      <w:bookmarkStart w:id="391" w:name="_Toc364343332"/>
      <w:bookmarkStart w:id="392" w:name="_Toc364343691"/>
      <w:bookmarkStart w:id="393" w:name="_Toc364001891"/>
      <w:bookmarkStart w:id="394" w:name="_Toc364635756"/>
      <w:bookmarkStart w:id="395" w:name="_Toc364636148"/>
      <w:bookmarkStart w:id="396" w:name="_Toc364636584"/>
      <w:bookmarkStart w:id="397" w:name="_Toc366502081"/>
      <w:bookmarkStart w:id="398" w:name="_Toc369907860"/>
      <w:bookmarkStart w:id="399" w:name="_Toc370052378"/>
      <w:bookmarkStart w:id="400" w:name="_Toc372234526"/>
      <w:bookmarkStart w:id="401" w:name="_Toc395871054"/>
      <w:bookmarkStart w:id="402" w:name="_Toc409468221"/>
      <w:r w:rsidRPr="0063078E">
        <w:rPr>
          <w:rFonts w:asciiTheme="minorHAnsi" w:hAnsiTheme="minorHAnsi"/>
          <w:b/>
          <w:bCs/>
          <w:color w:val="auto"/>
          <w:sz w:val="28"/>
          <w:szCs w:val="28"/>
        </w:rPr>
        <w:lastRenderedPageBreak/>
        <w:t>Ex-Post Fund</w:t>
      </w:r>
      <w:r w:rsidR="001324D0">
        <w:rPr>
          <w:rFonts w:asciiTheme="minorHAnsi" w:hAnsiTheme="minorHAnsi"/>
          <w:b/>
          <w:bCs/>
          <w:color w:val="auto"/>
          <w:sz w:val="28"/>
          <w:szCs w:val="28"/>
        </w:rPr>
        <w:t xml:space="preserve"> Manufacturer and Distributor Discl</w:t>
      </w:r>
      <w:r w:rsidR="0047379F">
        <w:rPr>
          <w:rFonts w:asciiTheme="minorHAnsi" w:hAnsiTheme="minorHAnsi"/>
          <w:b/>
          <w:bCs/>
          <w:color w:val="auto"/>
          <w:sz w:val="28"/>
          <w:szCs w:val="28"/>
        </w:rPr>
        <w:t>o</w:t>
      </w:r>
      <w:r w:rsidR="001324D0">
        <w:rPr>
          <w:rFonts w:asciiTheme="minorHAnsi" w:hAnsiTheme="minorHAnsi"/>
          <w:b/>
          <w:bCs/>
          <w:color w:val="auto"/>
          <w:sz w:val="28"/>
          <w:szCs w:val="28"/>
        </w:rPr>
        <w:t>sures</w:t>
      </w:r>
      <w:bookmarkEnd w:id="390"/>
      <w:bookmarkEnd w:id="391"/>
      <w:bookmarkEnd w:id="392"/>
      <w:bookmarkEnd w:id="393"/>
      <w:bookmarkEnd w:id="394"/>
      <w:bookmarkEnd w:id="395"/>
      <w:bookmarkEnd w:id="396"/>
      <w:bookmarkEnd w:id="397"/>
      <w:bookmarkEnd w:id="398"/>
      <w:bookmarkEnd w:id="399"/>
      <w:bookmarkEnd w:id="400"/>
      <w:bookmarkEnd w:id="401"/>
      <w:bookmarkEnd w:id="402"/>
    </w:p>
    <w:p w14:paraId="1C65DC4E" w14:textId="77777777" w:rsidR="005A6B31" w:rsidRDefault="005A6B31" w:rsidP="007D53AC"/>
    <w:p w14:paraId="015C2B92" w14:textId="77777777" w:rsidR="005A6B31" w:rsidRDefault="005A6B31" w:rsidP="007D53AC"/>
    <w:p w14:paraId="70A8CA30" w14:textId="4681A5D2" w:rsidR="005A6B31" w:rsidRPr="007D53AC" w:rsidRDefault="00936C81" w:rsidP="004E65EB">
      <w:pPr>
        <w:pStyle w:val="Heading3"/>
        <w:ind w:left="709"/>
        <w:rPr>
          <w:rFonts w:asciiTheme="minorHAnsi" w:hAnsiTheme="minorHAnsi"/>
          <w:color w:val="auto"/>
          <w:sz w:val="24"/>
          <w:szCs w:val="24"/>
        </w:rPr>
      </w:pPr>
      <w:bookmarkStart w:id="403" w:name="_Toc366502082"/>
      <w:bookmarkStart w:id="404" w:name="_Toc369907861"/>
      <w:bookmarkStart w:id="405" w:name="_Toc370052379"/>
      <w:bookmarkStart w:id="406" w:name="_Toc372234527"/>
      <w:bookmarkStart w:id="407" w:name="_Toc395871055"/>
      <w:bookmarkStart w:id="408" w:name="_Toc409468222"/>
      <w:r>
        <w:rPr>
          <w:rFonts w:asciiTheme="minorHAnsi" w:hAnsiTheme="minorHAnsi"/>
          <w:color w:val="auto"/>
          <w:sz w:val="24"/>
          <w:szCs w:val="24"/>
        </w:rPr>
        <w:t>Introduction</w:t>
      </w:r>
      <w:bookmarkEnd w:id="403"/>
      <w:bookmarkEnd w:id="404"/>
      <w:bookmarkEnd w:id="405"/>
      <w:bookmarkEnd w:id="406"/>
      <w:bookmarkEnd w:id="407"/>
      <w:bookmarkEnd w:id="408"/>
    </w:p>
    <w:p w14:paraId="16617BE4" w14:textId="77777777" w:rsidR="005A6B31" w:rsidRPr="00D06D59" w:rsidRDefault="005A6B31" w:rsidP="005A6B31">
      <w:pPr>
        <w:rPr>
          <w:rFonts w:cstheme="minorHAnsi"/>
          <w:sz w:val="24"/>
        </w:rPr>
      </w:pPr>
    </w:p>
    <w:p w14:paraId="2255AF3A" w14:textId="1A78B457" w:rsidR="00BE1805" w:rsidRPr="0063078E" w:rsidRDefault="005A6B31" w:rsidP="00894AA2">
      <w:pPr>
        <w:spacing w:line="276" w:lineRule="auto"/>
        <w:jc w:val="both"/>
        <w:rPr>
          <w:rFonts w:asciiTheme="minorHAnsi" w:hAnsiTheme="minorHAnsi" w:cstheme="minorHAnsi"/>
          <w:b/>
          <w:sz w:val="32"/>
        </w:rPr>
      </w:pPr>
      <w:r w:rsidRPr="00331B33">
        <w:rPr>
          <w:rFonts w:asciiTheme="minorHAnsi" w:hAnsiTheme="minorHAnsi" w:cstheme="minorHAnsi"/>
          <w:szCs w:val="22"/>
        </w:rPr>
        <w:t xml:space="preserve">The purpose of this section is to describe the steps </w:t>
      </w:r>
      <w:r w:rsidR="007B4CB4">
        <w:rPr>
          <w:rFonts w:asciiTheme="minorHAnsi" w:hAnsiTheme="minorHAnsi" w:cstheme="minorHAnsi"/>
          <w:szCs w:val="22"/>
        </w:rPr>
        <w:t>firms</w:t>
      </w:r>
      <w:r>
        <w:rPr>
          <w:rFonts w:asciiTheme="minorHAnsi" w:hAnsiTheme="minorHAnsi" w:cstheme="minorHAnsi"/>
          <w:szCs w:val="22"/>
        </w:rPr>
        <w:t xml:space="preserve"> can take </w:t>
      </w:r>
      <w:r w:rsidRPr="00331B33">
        <w:rPr>
          <w:rFonts w:asciiTheme="minorHAnsi" w:hAnsiTheme="minorHAnsi" w:cstheme="minorHAnsi"/>
          <w:szCs w:val="22"/>
        </w:rPr>
        <w:t xml:space="preserve">in complying with the Ex-Post Costs and Charges requirements for clients with whom they maintain an ongoing relationship throughout the year. This section will outline the expected content, production and high level calculation. The high level requirements for disclosures are detailed in </w:t>
      </w:r>
      <w:r>
        <w:rPr>
          <w:rFonts w:asciiTheme="minorHAnsi" w:hAnsiTheme="minorHAnsi" w:cstheme="minorHAnsi"/>
          <w:szCs w:val="22"/>
        </w:rPr>
        <w:t>the MiFID II</w:t>
      </w:r>
      <w:r w:rsidRPr="00331B33">
        <w:rPr>
          <w:rFonts w:asciiTheme="minorHAnsi" w:hAnsiTheme="minorHAnsi" w:cstheme="minorHAnsi"/>
          <w:szCs w:val="22"/>
        </w:rPr>
        <w:t xml:space="preserve"> Directive Section 2, Article 24(4)(c)</w:t>
      </w:r>
      <w:r w:rsidRPr="00331B33">
        <w:rPr>
          <w:rFonts w:asciiTheme="minorHAnsi" w:hAnsiTheme="minorHAnsi" w:cstheme="minorHAnsi"/>
          <w:szCs w:val="22"/>
          <w:vertAlign w:val="superscript"/>
        </w:rPr>
        <w:t>1</w:t>
      </w:r>
      <w:r w:rsidRPr="00331B33">
        <w:rPr>
          <w:rFonts w:asciiTheme="minorHAnsi" w:hAnsiTheme="minorHAnsi" w:cstheme="minorHAnsi"/>
          <w:szCs w:val="22"/>
        </w:rPr>
        <w:t>, and supplemented by the MIFDI II Delegated Regulation Article 50</w:t>
      </w:r>
      <w:r w:rsidRPr="00331B33">
        <w:rPr>
          <w:rFonts w:asciiTheme="minorHAnsi" w:hAnsiTheme="minorHAnsi" w:cstheme="minorHAnsi"/>
          <w:szCs w:val="22"/>
          <w:vertAlign w:val="superscript"/>
        </w:rPr>
        <w:t>2</w:t>
      </w:r>
      <w:r w:rsidRPr="00331B33">
        <w:rPr>
          <w:rFonts w:asciiTheme="minorHAnsi" w:hAnsiTheme="minorHAnsi" w:cstheme="minorHAnsi"/>
          <w:szCs w:val="22"/>
        </w:rPr>
        <w:t>.</w:t>
      </w:r>
    </w:p>
    <w:p w14:paraId="1ED2098B" w14:textId="1E7138FC" w:rsidR="00BE1F71" w:rsidRDefault="00BE1F71" w:rsidP="000D06F2">
      <w:pPr>
        <w:ind w:left="0"/>
        <w:rPr>
          <w:rFonts w:cstheme="minorHAnsi"/>
          <w:sz w:val="24"/>
        </w:rPr>
      </w:pPr>
    </w:p>
    <w:p w14:paraId="714EC30D" w14:textId="69A905A1" w:rsidR="00CD78E9" w:rsidRPr="003348C6" w:rsidRDefault="00CD78E9" w:rsidP="004E65EB">
      <w:pPr>
        <w:pStyle w:val="Heading3"/>
        <w:ind w:left="709"/>
        <w:rPr>
          <w:rFonts w:asciiTheme="minorHAnsi" w:hAnsiTheme="minorHAnsi"/>
          <w:color w:val="auto"/>
          <w:sz w:val="24"/>
          <w:szCs w:val="24"/>
        </w:rPr>
      </w:pPr>
      <w:bookmarkStart w:id="409" w:name="_Toc364001894"/>
      <w:bookmarkStart w:id="410" w:name="_Toc364343150"/>
      <w:bookmarkStart w:id="411" w:name="_Toc364343336"/>
      <w:bookmarkStart w:id="412" w:name="_Toc364343695"/>
      <w:bookmarkStart w:id="413" w:name="_Toc364635760"/>
      <w:bookmarkStart w:id="414" w:name="_Toc364636151"/>
      <w:bookmarkStart w:id="415" w:name="_Toc364636587"/>
      <w:bookmarkStart w:id="416" w:name="_Toc366502083"/>
      <w:bookmarkStart w:id="417" w:name="_Toc369907862"/>
      <w:bookmarkStart w:id="418" w:name="_Toc370052380"/>
      <w:bookmarkStart w:id="419" w:name="_Toc372234528"/>
      <w:bookmarkStart w:id="420" w:name="_Toc395871056"/>
      <w:bookmarkStart w:id="421" w:name="_Toc409468223"/>
      <w:r w:rsidRPr="003348C6">
        <w:rPr>
          <w:rFonts w:asciiTheme="minorHAnsi" w:hAnsiTheme="minorHAnsi"/>
          <w:color w:val="auto"/>
          <w:sz w:val="24"/>
          <w:szCs w:val="24"/>
        </w:rPr>
        <w:t>Who creates and receives the Ex-Post data?</w:t>
      </w:r>
      <w:bookmarkEnd w:id="409"/>
      <w:bookmarkEnd w:id="410"/>
      <w:bookmarkEnd w:id="411"/>
      <w:bookmarkEnd w:id="412"/>
      <w:bookmarkEnd w:id="413"/>
      <w:bookmarkEnd w:id="414"/>
      <w:bookmarkEnd w:id="415"/>
      <w:bookmarkEnd w:id="416"/>
      <w:bookmarkEnd w:id="417"/>
      <w:bookmarkEnd w:id="418"/>
      <w:bookmarkEnd w:id="419"/>
      <w:bookmarkEnd w:id="420"/>
      <w:bookmarkEnd w:id="421"/>
    </w:p>
    <w:p w14:paraId="759DC3A1" w14:textId="77777777" w:rsidR="00CD78E9" w:rsidRPr="00D06D59" w:rsidRDefault="00CD78E9" w:rsidP="00CD78E9">
      <w:pPr>
        <w:rPr>
          <w:rFonts w:cstheme="minorHAnsi"/>
          <w:sz w:val="24"/>
        </w:rPr>
      </w:pPr>
    </w:p>
    <w:p w14:paraId="4066E5B5" w14:textId="003921AF" w:rsidR="00CD78E9" w:rsidRDefault="00CD78E9" w:rsidP="00894AA2">
      <w:pPr>
        <w:spacing w:line="276" w:lineRule="auto"/>
        <w:jc w:val="both"/>
        <w:rPr>
          <w:rFonts w:asciiTheme="minorHAnsi" w:hAnsiTheme="minorHAnsi" w:cstheme="minorHAnsi"/>
          <w:szCs w:val="22"/>
        </w:rPr>
      </w:pPr>
      <w:r w:rsidRPr="00331B33">
        <w:rPr>
          <w:rFonts w:asciiTheme="minorHAnsi" w:hAnsiTheme="minorHAnsi" w:cstheme="minorHAnsi"/>
          <w:szCs w:val="22"/>
        </w:rPr>
        <w:t xml:space="preserve">Fund Manufacturers (e.g. UCITS Management Companies and AIFMs) need to calculate the costs of their funds at a share class level according the methodologies set out </w:t>
      </w:r>
      <w:r w:rsidRPr="00B21453">
        <w:rPr>
          <w:rFonts w:asciiTheme="minorHAnsi" w:hAnsiTheme="minorHAnsi" w:cstheme="minorHAnsi"/>
          <w:szCs w:val="22"/>
        </w:rPr>
        <w:t xml:space="preserve">in </w:t>
      </w:r>
      <w:r w:rsidR="007B4CB4" w:rsidRPr="00EC5EBD">
        <w:rPr>
          <w:rFonts w:asciiTheme="minorHAnsi" w:hAnsiTheme="minorHAnsi" w:cstheme="minorHAnsi"/>
          <w:szCs w:val="22"/>
        </w:rPr>
        <w:t>Chapter 9</w:t>
      </w:r>
      <w:r w:rsidR="008D0671">
        <w:rPr>
          <w:rFonts w:asciiTheme="minorHAnsi" w:hAnsiTheme="minorHAnsi" w:cstheme="minorHAnsi"/>
          <w:szCs w:val="22"/>
        </w:rPr>
        <w:t xml:space="preserve">. </w:t>
      </w:r>
      <w:r w:rsidRPr="00331B33">
        <w:rPr>
          <w:rFonts w:asciiTheme="minorHAnsi" w:hAnsiTheme="minorHAnsi" w:cstheme="minorHAnsi"/>
          <w:szCs w:val="22"/>
        </w:rPr>
        <w:t xml:space="preserve"> MiFID Firms should liaise with Fund Manufacturers to obtain such costs and charges data (via the </w:t>
      </w:r>
      <w:r w:rsidR="00BE1F71" w:rsidRPr="00331B33">
        <w:rPr>
          <w:rFonts w:asciiTheme="minorHAnsi" w:hAnsiTheme="minorHAnsi" w:cstheme="minorHAnsi"/>
          <w:szCs w:val="22"/>
        </w:rPr>
        <w:t>European MiFID Template “</w:t>
      </w:r>
      <w:r w:rsidRPr="00331B33">
        <w:rPr>
          <w:rFonts w:asciiTheme="minorHAnsi" w:hAnsiTheme="minorHAnsi" w:cstheme="minorHAnsi"/>
          <w:szCs w:val="22"/>
        </w:rPr>
        <w:t>EMT</w:t>
      </w:r>
      <w:r w:rsidR="00BE1F71" w:rsidRPr="00331B33">
        <w:rPr>
          <w:rFonts w:asciiTheme="minorHAnsi" w:hAnsiTheme="minorHAnsi" w:cstheme="minorHAnsi"/>
          <w:szCs w:val="22"/>
        </w:rPr>
        <w:t>”</w:t>
      </w:r>
      <w:r w:rsidRPr="00331B33">
        <w:rPr>
          <w:rFonts w:asciiTheme="minorHAnsi" w:hAnsiTheme="minorHAnsi" w:cstheme="minorHAnsi"/>
          <w:szCs w:val="22"/>
        </w:rPr>
        <w:t xml:space="preserve">) which will serve as the “building blocks” enabling them to create personalised ex-post disclosures for their clients. </w:t>
      </w:r>
    </w:p>
    <w:p w14:paraId="7E95844F" w14:textId="77777777" w:rsidR="00A70BE0" w:rsidRDefault="00A70BE0" w:rsidP="00936C81">
      <w:pPr>
        <w:spacing w:line="276" w:lineRule="auto"/>
        <w:rPr>
          <w:rFonts w:asciiTheme="minorHAnsi" w:hAnsiTheme="minorHAnsi" w:cstheme="minorHAnsi"/>
          <w:szCs w:val="22"/>
        </w:rPr>
      </w:pPr>
    </w:p>
    <w:p w14:paraId="1280E738" w14:textId="611C70D2" w:rsidR="00A70BE0" w:rsidRPr="00331B33" w:rsidRDefault="00A70BE0" w:rsidP="00936C81">
      <w:pPr>
        <w:spacing w:line="276" w:lineRule="auto"/>
        <w:rPr>
          <w:rFonts w:asciiTheme="minorHAnsi" w:hAnsiTheme="minorHAnsi" w:cstheme="minorHAnsi"/>
          <w:szCs w:val="22"/>
        </w:rPr>
      </w:pPr>
      <w:r w:rsidRPr="005E4828">
        <w:rPr>
          <w:rFonts w:asciiTheme="minorHAnsi" w:hAnsiTheme="minorHAnsi" w:cstheme="minorHAnsi"/>
          <w:noProof/>
          <w:szCs w:val="22"/>
        </w:rPr>
        <w:drawing>
          <wp:inline distT="0" distB="0" distL="0" distR="0" wp14:anchorId="7A47E949" wp14:editId="332DC96F">
            <wp:extent cx="5731510" cy="3282187"/>
            <wp:effectExtent l="0" t="0" r="2540" b="0"/>
            <wp:docPr id="3" name="Picture 3" descr="K:\MiFID II\Cost and Charges\TISA Strawman Templates\Ex-ante data flow for TISA Best Practice Guide - 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iFID II\Cost and Charges\TISA Strawman Templates\Ex-ante data flow for TISA Best Practice Guide - Ada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82187"/>
                    </a:xfrm>
                    <a:prstGeom prst="rect">
                      <a:avLst/>
                    </a:prstGeom>
                    <a:noFill/>
                    <a:ln>
                      <a:noFill/>
                    </a:ln>
                  </pic:spPr>
                </pic:pic>
              </a:graphicData>
            </a:graphic>
          </wp:inline>
        </w:drawing>
      </w:r>
    </w:p>
    <w:p w14:paraId="2C72C94A" w14:textId="7027125E" w:rsidR="00BE1805" w:rsidRDefault="00BE1805" w:rsidP="0063078E">
      <w:pPr>
        <w:pStyle w:val="Heading2"/>
        <w:numPr>
          <w:ilvl w:val="0"/>
          <w:numId w:val="0"/>
        </w:numPr>
      </w:pPr>
    </w:p>
    <w:p w14:paraId="69D72112" w14:textId="77777777" w:rsidR="00936C81" w:rsidRDefault="00936C81" w:rsidP="007D53AC"/>
    <w:p w14:paraId="07EF15CB" w14:textId="77777777" w:rsidR="00936C81" w:rsidRDefault="00936C81" w:rsidP="007D53AC"/>
    <w:p w14:paraId="74650201" w14:textId="66DCBEBB" w:rsidR="00936C81" w:rsidRPr="007D53AC" w:rsidRDefault="00936C81" w:rsidP="007D53AC">
      <w:pPr>
        <w:rPr>
          <w:i/>
        </w:rPr>
      </w:pPr>
      <w:r w:rsidRPr="007D53AC">
        <w:rPr>
          <w:i/>
        </w:rPr>
        <w:t xml:space="preserve">Ex-Post </w:t>
      </w:r>
      <w:r w:rsidR="00CD2461">
        <w:rPr>
          <w:i/>
        </w:rPr>
        <w:t>F</w:t>
      </w:r>
      <w:r w:rsidRPr="007D53AC">
        <w:rPr>
          <w:i/>
        </w:rPr>
        <w:t xml:space="preserve">und </w:t>
      </w:r>
      <w:r w:rsidR="00CD2461">
        <w:rPr>
          <w:i/>
        </w:rPr>
        <w:t>M</w:t>
      </w:r>
      <w:r w:rsidRPr="007D53AC">
        <w:rPr>
          <w:i/>
        </w:rPr>
        <w:t>anufacturer data exchange</w:t>
      </w:r>
    </w:p>
    <w:p w14:paraId="01ECC60C" w14:textId="77777777" w:rsidR="00936C81" w:rsidRDefault="00936C81" w:rsidP="007D53AC"/>
    <w:p w14:paraId="195AE7C8" w14:textId="77777777" w:rsidR="00936C81" w:rsidRPr="00936C81" w:rsidRDefault="00936C81" w:rsidP="007D53AC"/>
    <w:p w14:paraId="76CA5D68" w14:textId="77777777" w:rsidR="00CD78E9" w:rsidRPr="003348C6" w:rsidRDefault="00CD78E9" w:rsidP="004E65EB">
      <w:pPr>
        <w:pStyle w:val="Heading3"/>
        <w:ind w:left="709"/>
        <w:rPr>
          <w:rFonts w:asciiTheme="minorHAnsi" w:hAnsiTheme="minorHAnsi"/>
          <w:color w:val="auto"/>
          <w:sz w:val="24"/>
          <w:szCs w:val="24"/>
        </w:rPr>
      </w:pPr>
      <w:bookmarkStart w:id="422" w:name="_Toc364001895"/>
      <w:bookmarkStart w:id="423" w:name="_Toc364343151"/>
      <w:bookmarkStart w:id="424" w:name="_Toc364343337"/>
      <w:bookmarkStart w:id="425" w:name="_Toc364343696"/>
      <w:bookmarkStart w:id="426" w:name="_Toc364635761"/>
      <w:bookmarkStart w:id="427" w:name="_Toc364636152"/>
      <w:bookmarkStart w:id="428" w:name="_Toc364636588"/>
      <w:bookmarkStart w:id="429" w:name="_Toc366502084"/>
      <w:bookmarkStart w:id="430" w:name="_Toc369907863"/>
      <w:bookmarkStart w:id="431" w:name="_Toc370052381"/>
      <w:bookmarkStart w:id="432" w:name="_Toc372234529"/>
      <w:bookmarkStart w:id="433" w:name="_Toc395871057"/>
      <w:bookmarkStart w:id="434" w:name="_Toc409468224"/>
      <w:r w:rsidRPr="003348C6">
        <w:rPr>
          <w:rFonts w:asciiTheme="minorHAnsi" w:hAnsiTheme="minorHAnsi"/>
          <w:color w:val="auto"/>
          <w:sz w:val="24"/>
          <w:szCs w:val="24"/>
        </w:rPr>
        <w:lastRenderedPageBreak/>
        <w:t>Method of Ex-Post Data Exchange</w:t>
      </w:r>
      <w:bookmarkEnd w:id="422"/>
      <w:bookmarkEnd w:id="423"/>
      <w:bookmarkEnd w:id="424"/>
      <w:bookmarkEnd w:id="425"/>
      <w:bookmarkEnd w:id="426"/>
      <w:bookmarkEnd w:id="427"/>
      <w:bookmarkEnd w:id="428"/>
      <w:bookmarkEnd w:id="429"/>
      <w:bookmarkEnd w:id="430"/>
      <w:bookmarkEnd w:id="431"/>
      <w:bookmarkEnd w:id="432"/>
      <w:bookmarkEnd w:id="433"/>
      <w:bookmarkEnd w:id="434"/>
    </w:p>
    <w:p w14:paraId="4C6E6547" w14:textId="77777777" w:rsidR="00CD78E9" w:rsidRPr="00D06D59" w:rsidRDefault="00CD78E9" w:rsidP="00CD78E9">
      <w:pPr>
        <w:rPr>
          <w:rFonts w:cstheme="minorHAnsi"/>
          <w:sz w:val="24"/>
        </w:rPr>
      </w:pPr>
    </w:p>
    <w:p w14:paraId="4230306E" w14:textId="03FA9FA8" w:rsidR="00CD78E9" w:rsidRPr="00331B33" w:rsidRDefault="00CD78E9" w:rsidP="00894AA2">
      <w:pPr>
        <w:pStyle w:val="ListParagraph"/>
        <w:spacing w:line="276" w:lineRule="auto"/>
        <w:ind w:left="709"/>
        <w:jc w:val="both"/>
        <w:rPr>
          <w:rFonts w:asciiTheme="minorHAnsi" w:hAnsiTheme="minorHAnsi" w:cstheme="minorHAnsi"/>
          <w:szCs w:val="22"/>
        </w:rPr>
      </w:pPr>
      <w:r w:rsidRPr="00331B33">
        <w:rPr>
          <w:rFonts w:asciiTheme="minorHAnsi" w:hAnsiTheme="minorHAnsi" w:cstheme="minorHAnsi"/>
          <w:szCs w:val="22"/>
        </w:rPr>
        <w:t xml:space="preserve">ESMA’s </w:t>
      </w:r>
      <w:r w:rsidR="00B20A6E">
        <w:rPr>
          <w:rFonts w:asciiTheme="minorHAnsi" w:hAnsiTheme="minorHAnsi" w:cstheme="minorHAnsi"/>
          <w:szCs w:val="22"/>
        </w:rPr>
        <w:t xml:space="preserve">Investor Protection </w:t>
      </w:r>
      <w:r w:rsidRPr="00331B33">
        <w:rPr>
          <w:rFonts w:asciiTheme="minorHAnsi" w:hAnsiTheme="minorHAnsi" w:cstheme="minorHAnsi"/>
          <w:szCs w:val="22"/>
        </w:rPr>
        <w:t xml:space="preserve">Q&amp;A suggest that MiFID Firms are expected to liaise with Fund Manufacturers to obtain the data necessary in order for them to comply with their obligation to provide their clients with </w:t>
      </w:r>
      <w:r w:rsidR="008D0671">
        <w:rPr>
          <w:rFonts w:asciiTheme="minorHAnsi" w:hAnsiTheme="minorHAnsi" w:cstheme="minorHAnsi"/>
          <w:szCs w:val="22"/>
        </w:rPr>
        <w:t>E</w:t>
      </w:r>
      <w:r w:rsidRPr="00331B33">
        <w:rPr>
          <w:rFonts w:asciiTheme="minorHAnsi" w:hAnsiTheme="minorHAnsi" w:cstheme="minorHAnsi"/>
          <w:szCs w:val="22"/>
        </w:rPr>
        <w:t>x-</w:t>
      </w:r>
      <w:r w:rsidR="008D0671">
        <w:rPr>
          <w:rFonts w:asciiTheme="minorHAnsi" w:hAnsiTheme="minorHAnsi" w:cstheme="minorHAnsi"/>
          <w:szCs w:val="22"/>
        </w:rPr>
        <w:t>A</w:t>
      </w:r>
      <w:r w:rsidRPr="00331B33">
        <w:rPr>
          <w:rFonts w:asciiTheme="minorHAnsi" w:hAnsiTheme="minorHAnsi" w:cstheme="minorHAnsi"/>
          <w:szCs w:val="22"/>
        </w:rPr>
        <w:t xml:space="preserve">nte and </w:t>
      </w:r>
      <w:r w:rsidR="008D0671">
        <w:rPr>
          <w:rFonts w:asciiTheme="minorHAnsi" w:hAnsiTheme="minorHAnsi" w:cstheme="minorHAnsi"/>
          <w:szCs w:val="22"/>
        </w:rPr>
        <w:t>E</w:t>
      </w:r>
      <w:r w:rsidRPr="00331B33">
        <w:rPr>
          <w:rFonts w:asciiTheme="minorHAnsi" w:hAnsiTheme="minorHAnsi" w:cstheme="minorHAnsi"/>
          <w:szCs w:val="22"/>
        </w:rPr>
        <w:t>x-</w:t>
      </w:r>
      <w:r w:rsidR="008D0671">
        <w:rPr>
          <w:rFonts w:asciiTheme="minorHAnsi" w:hAnsiTheme="minorHAnsi" w:cstheme="minorHAnsi"/>
          <w:szCs w:val="22"/>
        </w:rPr>
        <w:t>P</w:t>
      </w:r>
      <w:r w:rsidRPr="00331B33">
        <w:rPr>
          <w:rFonts w:asciiTheme="minorHAnsi" w:hAnsiTheme="minorHAnsi" w:cstheme="minorHAnsi"/>
          <w:szCs w:val="22"/>
        </w:rPr>
        <w:t>ost Costs and Charges disclosures. For this reason, the European Working Group</w:t>
      </w:r>
      <w:r w:rsidRPr="00331B33">
        <w:rPr>
          <w:rFonts w:asciiTheme="minorHAnsi" w:hAnsiTheme="minorHAnsi" w:cstheme="minorHAnsi"/>
          <w:szCs w:val="22"/>
          <w:vertAlign w:val="superscript"/>
        </w:rPr>
        <w:t xml:space="preserve"> </w:t>
      </w:r>
      <w:r w:rsidRPr="00331B33">
        <w:rPr>
          <w:rFonts w:asciiTheme="minorHAnsi" w:hAnsiTheme="minorHAnsi" w:cstheme="minorHAnsi"/>
          <w:szCs w:val="22"/>
        </w:rPr>
        <w:t xml:space="preserve">has created a European MiFID Template (“EMT”) in an effort to influence the Asset Management industry to adopt a standardised approach for the exchange of data, including fund costs and charges at share class level. See </w:t>
      </w:r>
      <w:r w:rsidR="00647A98" w:rsidRPr="00EC5EBD">
        <w:rPr>
          <w:rFonts w:asciiTheme="minorHAnsi" w:hAnsiTheme="minorHAnsi" w:cstheme="minorHAnsi"/>
          <w:szCs w:val="22"/>
        </w:rPr>
        <w:t>C</w:t>
      </w:r>
      <w:r w:rsidRPr="00EC5EBD">
        <w:rPr>
          <w:rFonts w:asciiTheme="minorHAnsi" w:hAnsiTheme="minorHAnsi" w:cstheme="minorHAnsi"/>
          <w:szCs w:val="22"/>
        </w:rPr>
        <w:t xml:space="preserve">hapter </w:t>
      </w:r>
      <w:r w:rsidR="00647A98" w:rsidRPr="00EC5EBD">
        <w:rPr>
          <w:rFonts w:asciiTheme="minorHAnsi" w:hAnsiTheme="minorHAnsi" w:cstheme="minorHAnsi"/>
          <w:szCs w:val="22"/>
        </w:rPr>
        <w:t>10</w:t>
      </w:r>
      <w:r w:rsidRPr="00331B33">
        <w:rPr>
          <w:rFonts w:asciiTheme="minorHAnsi" w:hAnsiTheme="minorHAnsi" w:cstheme="minorHAnsi"/>
          <w:szCs w:val="22"/>
        </w:rPr>
        <w:t xml:space="preserve"> for further details on the EMT. </w:t>
      </w:r>
    </w:p>
    <w:p w14:paraId="4DBECB6B" w14:textId="77777777" w:rsidR="00CD78E9" w:rsidRPr="00331B33" w:rsidRDefault="00CD78E9" w:rsidP="00894AA2">
      <w:pPr>
        <w:pStyle w:val="ListParagraph"/>
        <w:spacing w:line="276" w:lineRule="auto"/>
        <w:ind w:left="709"/>
        <w:jc w:val="both"/>
        <w:rPr>
          <w:rFonts w:asciiTheme="minorHAnsi" w:hAnsiTheme="minorHAnsi" w:cstheme="minorHAnsi"/>
          <w:szCs w:val="22"/>
        </w:rPr>
      </w:pPr>
    </w:p>
    <w:p w14:paraId="1C3A39A2" w14:textId="66E0791F" w:rsidR="00CD78E9" w:rsidRPr="00331B33" w:rsidRDefault="00CD78E9" w:rsidP="00894AA2">
      <w:pPr>
        <w:pStyle w:val="ListParagraph"/>
        <w:spacing w:line="276" w:lineRule="auto"/>
        <w:ind w:left="709"/>
        <w:jc w:val="both"/>
        <w:rPr>
          <w:rFonts w:asciiTheme="minorHAnsi" w:hAnsiTheme="minorHAnsi" w:cstheme="minorHAnsi"/>
          <w:szCs w:val="22"/>
        </w:rPr>
      </w:pPr>
      <w:r w:rsidRPr="00331B33">
        <w:rPr>
          <w:rFonts w:asciiTheme="minorHAnsi" w:hAnsiTheme="minorHAnsi" w:cstheme="minorHAnsi"/>
          <w:szCs w:val="22"/>
        </w:rPr>
        <w:t>Fund Manufacturers might choose to distribute the EMT directly to MiFID Firms or may wish to engage the services of various data exchange vendors who will co-ordinate the process on their behalf.</w:t>
      </w:r>
    </w:p>
    <w:p w14:paraId="1215FA38" w14:textId="77777777" w:rsidR="00CD78E9" w:rsidRPr="00D06D59" w:rsidRDefault="00CD78E9" w:rsidP="007D53AC">
      <w:pPr>
        <w:ind w:left="0"/>
        <w:rPr>
          <w:rFonts w:cstheme="minorHAnsi"/>
          <w:sz w:val="24"/>
        </w:rPr>
      </w:pPr>
    </w:p>
    <w:p w14:paraId="3FE6E9C5" w14:textId="5F5DC31F" w:rsidR="003E631E" w:rsidRPr="003E631E" w:rsidRDefault="003E631E" w:rsidP="004E65EB">
      <w:pPr>
        <w:pStyle w:val="Heading3"/>
        <w:ind w:left="709"/>
      </w:pPr>
      <w:bookmarkStart w:id="435" w:name="_Toc366502085"/>
      <w:bookmarkStart w:id="436" w:name="_Toc369907864"/>
      <w:bookmarkStart w:id="437" w:name="_Toc370052382"/>
      <w:bookmarkStart w:id="438" w:name="_Toc372234530"/>
      <w:bookmarkStart w:id="439" w:name="_Toc395871058"/>
      <w:bookmarkStart w:id="440" w:name="_Toc409468225"/>
      <w:r>
        <w:rPr>
          <w:rFonts w:asciiTheme="minorHAnsi" w:hAnsiTheme="minorHAnsi"/>
          <w:color w:val="auto"/>
          <w:sz w:val="24"/>
          <w:szCs w:val="24"/>
        </w:rPr>
        <w:t>Timing of Ex-Post disclosures</w:t>
      </w:r>
      <w:bookmarkStart w:id="441" w:name="_Toc369907865"/>
      <w:bookmarkEnd w:id="435"/>
      <w:bookmarkEnd w:id="436"/>
      <w:bookmarkEnd w:id="437"/>
      <w:bookmarkEnd w:id="438"/>
      <w:bookmarkEnd w:id="439"/>
      <w:bookmarkEnd w:id="441"/>
      <w:bookmarkEnd w:id="440"/>
    </w:p>
    <w:p w14:paraId="41E6F034" w14:textId="77777777" w:rsidR="003E631E" w:rsidRPr="003E631E" w:rsidRDefault="003E631E" w:rsidP="003E631E">
      <w:pPr>
        <w:spacing w:line="276" w:lineRule="auto"/>
        <w:rPr>
          <w:rFonts w:asciiTheme="minorHAnsi" w:hAnsiTheme="minorHAnsi" w:cstheme="minorHAnsi"/>
          <w:szCs w:val="22"/>
        </w:rPr>
      </w:pPr>
    </w:p>
    <w:p w14:paraId="5399C704" w14:textId="21D4DE5C" w:rsidR="003E631E" w:rsidRDefault="003E631E" w:rsidP="00894AA2">
      <w:pPr>
        <w:pStyle w:val="ListParagraph"/>
        <w:numPr>
          <w:ilvl w:val="0"/>
          <w:numId w:val="54"/>
        </w:numPr>
        <w:spacing w:line="276" w:lineRule="auto"/>
        <w:ind w:hanging="589"/>
        <w:jc w:val="both"/>
        <w:rPr>
          <w:rFonts w:asciiTheme="minorHAnsi" w:hAnsiTheme="minorHAnsi" w:cstheme="minorHAnsi"/>
          <w:szCs w:val="22"/>
        </w:rPr>
      </w:pPr>
      <w:r w:rsidRPr="000D06F2">
        <w:rPr>
          <w:rFonts w:asciiTheme="minorHAnsi" w:hAnsiTheme="minorHAnsi" w:cstheme="minorHAnsi"/>
          <w:szCs w:val="22"/>
        </w:rPr>
        <w:t>TISA notes that the only mandatory requirement is to generate Ex-Post on an annual basis. However as provided in</w:t>
      </w:r>
      <w:r w:rsidR="00647A98">
        <w:rPr>
          <w:rFonts w:asciiTheme="minorHAnsi" w:hAnsiTheme="minorHAnsi" w:cstheme="minorHAnsi"/>
          <w:szCs w:val="22"/>
        </w:rPr>
        <w:t xml:space="preserve"> </w:t>
      </w:r>
      <w:r w:rsidR="00107703">
        <w:rPr>
          <w:rFonts w:asciiTheme="minorHAnsi" w:hAnsiTheme="minorHAnsi" w:cstheme="minorHAnsi"/>
          <w:szCs w:val="22"/>
        </w:rPr>
        <w:t xml:space="preserve">the </w:t>
      </w:r>
      <w:r w:rsidR="00107703" w:rsidRPr="000D06F2">
        <w:rPr>
          <w:rFonts w:asciiTheme="minorHAnsi" w:hAnsiTheme="minorHAnsi" w:cstheme="minorHAnsi"/>
          <w:szCs w:val="22"/>
        </w:rPr>
        <w:t>MiFID</w:t>
      </w:r>
      <w:r w:rsidRPr="000D06F2">
        <w:rPr>
          <w:rFonts w:asciiTheme="minorHAnsi" w:hAnsiTheme="minorHAnsi" w:cstheme="minorHAnsi"/>
          <w:szCs w:val="22"/>
        </w:rPr>
        <w:t xml:space="preserve"> II</w:t>
      </w:r>
      <w:r w:rsidR="00647A98">
        <w:rPr>
          <w:rFonts w:asciiTheme="minorHAnsi" w:hAnsiTheme="minorHAnsi" w:cstheme="minorHAnsi"/>
          <w:szCs w:val="22"/>
        </w:rPr>
        <w:t xml:space="preserve"> Investor Protection</w:t>
      </w:r>
      <w:r w:rsidRPr="000D06F2">
        <w:rPr>
          <w:rFonts w:asciiTheme="minorHAnsi" w:hAnsiTheme="minorHAnsi" w:cstheme="minorHAnsi"/>
          <w:szCs w:val="22"/>
        </w:rPr>
        <w:t xml:space="preserve"> Q&amp;A firms c</w:t>
      </w:r>
      <w:r w:rsidR="00647A98" w:rsidRPr="00647A98">
        <w:rPr>
          <w:rFonts w:asciiTheme="minorHAnsi" w:hAnsiTheme="minorHAnsi" w:cstheme="minorHAnsi"/>
          <w:szCs w:val="22"/>
        </w:rPr>
        <w:t>an chose in addition to send Ex</w:t>
      </w:r>
      <w:r w:rsidR="00647A98">
        <w:rPr>
          <w:rFonts w:asciiTheme="minorHAnsi" w:hAnsiTheme="minorHAnsi" w:cstheme="minorHAnsi"/>
          <w:szCs w:val="22"/>
        </w:rPr>
        <w:t>-</w:t>
      </w:r>
      <w:r w:rsidRPr="00786673">
        <w:rPr>
          <w:rFonts w:asciiTheme="minorHAnsi" w:hAnsiTheme="minorHAnsi" w:cstheme="minorHAnsi"/>
          <w:szCs w:val="22"/>
        </w:rPr>
        <w:t xml:space="preserve">Post on a quarterly basis. </w:t>
      </w:r>
    </w:p>
    <w:p w14:paraId="36809D4F" w14:textId="77777777" w:rsidR="000D06F2" w:rsidRPr="00786673" w:rsidRDefault="000D06F2" w:rsidP="00894AA2">
      <w:pPr>
        <w:pStyle w:val="ListParagraph"/>
        <w:spacing w:line="276" w:lineRule="auto"/>
        <w:ind w:left="1440"/>
        <w:jc w:val="both"/>
        <w:rPr>
          <w:rFonts w:asciiTheme="minorHAnsi" w:hAnsiTheme="minorHAnsi" w:cstheme="minorHAnsi"/>
          <w:szCs w:val="22"/>
        </w:rPr>
      </w:pPr>
    </w:p>
    <w:p w14:paraId="4D74D346" w14:textId="3CB75DCC" w:rsidR="003E631E" w:rsidRDefault="003E631E" w:rsidP="00894AA2">
      <w:pPr>
        <w:pStyle w:val="ListParagraph"/>
        <w:numPr>
          <w:ilvl w:val="0"/>
          <w:numId w:val="54"/>
        </w:numPr>
        <w:spacing w:line="276" w:lineRule="auto"/>
        <w:ind w:hanging="589"/>
        <w:jc w:val="both"/>
        <w:rPr>
          <w:rFonts w:asciiTheme="minorHAnsi" w:hAnsiTheme="minorHAnsi" w:cstheme="minorHAnsi"/>
          <w:szCs w:val="22"/>
        </w:rPr>
      </w:pPr>
      <w:r w:rsidRPr="00786673">
        <w:rPr>
          <w:rFonts w:asciiTheme="minorHAnsi" w:hAnsiTheme="minorHAnsi" w:cstheme="minorHAnsi"/>
          <w:szCs w:val="22"/>
        </w:rPr>
        <w:t xml:space="preserve">Firms may </w:t>
      </w:r>
      <w:r w:rsidR="0054230D" w:rsidRPr="0054230D">
        <w:rPr>
          <w:rFonts w:asciiTheme="minorHAnsi" w:hAnsiTheme="minorHAnsi" w:cstheme="minorHAnsi"/>
          <w:szCs w:val="22"/>
        </w:rPr>
        <w:t>choose</w:t>
      </w:r>
      <w:r w:rsidRPr="00786673">
        <w:rPr>
          <w:rFonts w:asciiTheme="minorHAnsi" w:hAnsiTheme="minorHAnsi" w:cstheme="minorHAnsi"/>
          <w:szCs w:val="22"/>
        </w:rPr>
        <w:t xml:space="preserve"> to follow a uniform 12 months calculation period for Ex-Post generation for all its clients. For example</w:t>
      </w:r>
      <w:r w:rsidR="008D0671">
        <w:rPr>
          <w:rFonts w:asciiTheme="minorHAnsi" w:hAnsiTheme="minorHAnsi" w:cstheme="minorHAnsi"/>
          <w:szCs w:val="22"/>
        </w:rPr>
        <w:t>, if a f</w:t>
      </w:r>
      <w:r w:rsidRPr="00786673">
        <w:rPr>
          <w:rFonts w:asciiTheme="minorHAnsi" w:hAnsiTheme="minorHAnsi" w:cstheme="minorHAnsi"/>
          <w:szCs w:val="22"/>
        </w:rPr>
        <w:t>irm generates an Annual Ex-Post statement</w:t>
      </w:r>
      <w:r w:rsidR="008D0671">
        <w:rPr>
          <w:rFonts w:asciiTheme="minorHAnsi" w:hAnsiTheme="minorHAnsi" w:cstheme="minorHAnsi"/>
          <w:szCs w:val="22"/>
        </w:rPr>
        <w:t xml:space="preserve"> every year</w:t>
      </w:r>
      <w:r w:rsidRPr="00786673">
        <w:rPr>
          <w:rFonts w:asciiTheme="minorHAnsi" w:hAnsiTheme="minorHAnsi" w:cstheme="minorHAnsi"/>
          <w:szCs w:val="22"/>
        </w:rPr>
        <w:t xml:space="preserve"> on 30 June for all its clients</w:t>
      </w:r>
    </w:p>
    <w:p w14:paraId="7F1FBB2F" w14:textId="77777777" w:rsidR="000D06F2" w:rsidRPr="00786673" w:rsidRDefault="000D06F2" w:rsidP="00894AA2">
      <w:pPr>
        <w:spacing w:line="276" w:lineRule="auto"/>
        <w:ind w:left="0"/>
        <w:jc w:val="both"/>
        <w:rPr>
          <w:rFonts w:asciiTheme="minorHAnsi" w:hAnsiTheme="minorHAnsi" w:cstheme="minorHAnsi"/>
          <w:szCs w:val="22"/>
        </w:rPr>
      </w:pPr>
    </w:p>
    <w:p w14:paraId="15D9F0B6" w14:textId="1E23E812" w:rsidR="003E631E" w:rsidRPr="00786673" w:rsidRDefault="0054230D" w:rsidP="00894AA2">
      <w:pPr>
        <w:pStyle w:val="ListParagraph"/>
        <w:numPr>
          <w:ilvl w:val="0"/>
          <w:numId w:val="54"/>
        </w:numPr>
        <w:spacing w:line="276" w:lineRule="auto"/>
        <w:ind w:hanging="589"/>
        <w:jc w:val="both"/>
        <w:rPr>
          <w:rFonts w:asciiTheme="minorHAnsi" w:hAnsiTheme="minorHAnsi" w:cstheme="minorHAnsi"/>
          <w:szCs w:val="22"/>
        </w:rPr>
      </w:pPr>
      <w:r w:rsidRPr="0054230D">
        <w:rPr>
          <w:rFonts w:asciiTheme="minorHAnsi" w:hAnsiTheme="minorHAnsi" w:cstheme="minorHAnsi"/>
          <w:szCs w:val="22"/>
        </w:rPr>
        <w:t>Alternatively firms may customi</w:t>
      </w:r>
      <w:r>
        <w:rPr>
          <w:rFonts w:asciiTheme="minorHAnsi" w:hAnsiTheme="minorHAnsi" w:cstheme="minorHAnsi"/>
          <w:szCs w:val="22"/>
        </w:rPr>
        <w:t>s</w:t>
      </w:r>
      <w:r w:rsidRPr="0054230D">
        <w:rPr>
          <w:rFonts w:asciiTheme="minorHAnsi" w:hAnsiTheme="minorHAnsi" w:cstheme="minorHAnsi"/>
          <w:szCs w:val="22"/>
        </w:rPr>
        <w:t>e the Annual Ex</w:t>
      </w:r>
      <w:r>
        <w:rPr>
          <w:rFonts w:asciiTheme="minorHAnsi" w:hAnsiTheme="minorHAnsi" w:cstheme="minorHAnsi"/>
          <w:szCs w:val="22"/>
        </w:rPr>
        <w:t>-</w:t>
      </w:r>
      <w:r w:rsidR="003E631E" w:rsidRPr="00786673">
        <w:rPr>
          <w:rFonts w:asciiTheme="minorHAnsi" w:hAnsiTheme="minorHAnsi" w:cstheme="minorHAnsi"/>
          <w:szCs w:val="22"/>
        </w:rPr>
        <w:t xml:space="preserve">Post calculation period for each client or client categories separately. For example- </w:t>
      </w:r>
      <w:r w:rsidRPr="0054230D">
        <w:rPr>
          <w:rFonts w:asciiTheme="minorHAnsi" w:hAnsiTheme="minorHAnsi" w:cstheme="minorHAnsi"/>
          <w:szCs w:val="22"/>
        </w:rPr>
        <w:t xml:space="preserve">one set of clients can receive </w:t>
      </w:r>
      <w:r>
        <w:rPr>
          <w:rFonts w:asciiTheme="minorHAnsi" w:hAnsiTheme="minorHAnsi" w:cstheme="minorHAnsi"/>
          <w:szCs w:val="22"/>
        </w:rPr>
        <w:t>the a</w:t>
      </w:r>
      <w:r w:rsidRPr="0054230D">
        <w:rPr>
          <w:rFonts w:asciiTheme="minorHAnsi" w:hAnsiTheme="minorHAnsi" w:cstheme="minorHAnsi"/>
          <w:szCs w:val="22"/>
        </w:rPr>
        <w:t>nnual Ex</w:t>
      </w:r>
      <w:r>
        <w:rPr>
          <w:rFonts w:asciiTheme="minorHAnsi" w:hAnsiTheme="minorHAnsi" w:cstheme="minorHAnsi"/>
          <w:szCs w:val="22"/>
        </w:rPr>
        <w:t>-</w:t>
      </w:r>
      <w:r w:rsidR="003E631E" w:rsidRPr="00786673">
        <w:rPr>
          <w:rFonts w:asciiTheme="minorHAnsi" w:hAnsiTheme="minorHAnsi" w:cstheme="minorHAnsi"/>
          <w:szCs w:val="22"/>
        </w:rPr>
        <w:t>Post statements for</w:t>
      </w:r>
      <w:r>
        <w:rPr>
          <w:rFonts w:asciiTheme="minorHAnsi" w:hAnsiTheme="minorHAnsi" w:cstheme="minorHAnsi"/>
          <w:szCs w:val="22"/>
        </w:rPr>
        <w:t xml:space="preserve"> an</w:t>
      </w:r>
      <w:r w:rsidRPr="0054230D">
        <w:rPr>
          <w:rFonts w:asciiTheme="minorHAnsi" w:hAnsiTheme="minorHAnsi" w:cstheme="minorHAnsi"/>
          <w:szCs w:val="22"/>
        </w:rPr>
        <w:t xml:space="preserve"> April to March period</w:t>
      </w:r>
      <w:r>
        <w:rPr>
          <w:rFonts w:asciiTheme="minorHAnsi" w:hAnsiTheme="minorHAnsi" w:cstheme="minorHAnsi"/>
          <w:szCs w:val="22"/>
        </w:rPr>
        <w:t xml:space="preserve"> whilst</w:t>
      </w:r>
      <w:r w:rsidR="003E631E" w:rsidRPr="00786673">
        <w:rPr>
          <w:rFonts w:asciiTheme="minorHAnsi" w:hAnsiTheme="minorHAnsi" w:cstheme="minorHAnsi"/>
          <w:szCs w:val="22"/>
        </w:rPr>
        <w:t xml:space="preserve"> another set of clients can receive for </w:t>
      </w:r>
      <w:r>
        <w:rPr>
          <w:rFonts w:asciiTheme="minorHAnsi" w:hAnsiTheme="minorHAnsi" w:cstheme="minorHAnsi"/>
          <w:szCs w:val="22"/>
        </w:rPr>
        <w:t xml:space="preserve">the statements for a </w:t>
      </w:r>
      <w:r w:rsidR="003E631E" w:rsidRPr="00786673">
        <w:rPr>
          <w:rFonts w:asciiTheme="minorHAnsi" w:hAnsiTheme="minorHAnsi" w:cstheme="minorHAnsi"/>
          <w:szCs w:val="22"/>
        </w:rPr>
        <w:t xml:space="preserve">Jan to Dec period.  </w:t>
      </w:r>
    </w:p>
    <w:p w14:paraId="64F42625" w14:textId="77777777" w:rsidR="003E631E" w:rsidRPr="003E631E" w:rsidRDefault="003E631E" w:rsidP="00894AA2">
      <w:pPr>
        <w:spacing w:line="276" w:lineRule="auto"/>
        <w:jc w:val="both"/>
        <w:rPr>
          <w:rFonts w:asciiTheme="minorHAnsi" w:hAnsiTheme="minorHAnsi" w:cstheme="minorHAnsi"/>
          <w:szCs w:val="22"/>
        </w:rPr>
      </w:pPr>
    </w:p>
    <w:p w14:paraId="056843D8" w14:textId="619620DE" w:rsidR="003E631E" w:rsidRPr="00E4000D" w:rsidRDefault="003E631E" w:rsidP="00894AA2">
      <w:pPr>
        <w:spacing w:line="276" w:lineRule="auto"/>
        <w:jc w:val="both"/>
        <w:rPr>
          <w:rFonts w:asciiTheme="minorHAnsi" w:hAnsiTheme="minorHAnsi" w:cstheme="minorHAnsi"/>
          <w:b/>
          <w:szCs w:val="22"/>
        </w:rPr>
      </w:pPr>
      <w:r w:rsidRPr="00E4000D">
        <w:rPr>
          <w:rFonts w:asciiTheme="minorHAnsi" w:hAnsiTheme="minorHAnsi" w:cstheme="minorHAnsi"/>
          <w:b/>
          <w:szCs w:val="22"/>
        </w:rPr>
        <w:t xml:space="preserve">For existing clients before 3 January 2018, when will the </w:t>
      </w:r>
      <w:r w:rsidR="002B430F" w:rsidRPr="00E4000D">
        <w:rPr>
          <w:rFonts w:asciiTheme="minorHAnsi" w:hAnsiTheme="minorHAnsi" w:cstheme="minorHAnsi"/>
          <w:b/>
          <w:szCs w:val="22"/>
        </w:rPr>
        <w:t>first</w:t>
      </w:r>
      <w:r w:rsidRPr="00E4000D">
        <w:rPr>
          <w:rFonts w:asciiTheme="minorHAnsi" w:hAnsiTheme="minorHAnsi" w:cstheme="minorHAnsi"/>
          <w:b/>
          <w:szCs w:val="22"/>
        </w:rPr>
        <w:t xml:space="preserve"> Ex</w:t>
      </w:r>
      <w:r w:rsidR="008D0671" w:rsidRPr="00E4000D">
        <w:rPr>
          <w:rFonts w:asciiTheme="minorHAnsi" w:hAnsiTheme="minorHAnsi" w:cstheme="minorHAnsi"/>
          <w:b/>
          <w:szCs w:val="22"/>
        </w:rPr>
        <w:t>-</w:t>
      </w:r>
      <w:r w:rsidRPr="00E4000D">
        <w:rPr>
          <w:rFonts w:asciiTheme="minorHAnsi" w:hAnsiTheme="minorHAnsi" w:cstheme="minorHAnsi"/>
          <w:b/>
          <w:szCs w:val="22"/>
        </w:rPr>
        <w:t>Post report be generated?</w:t>
      </w:r>
    </w:p>
    <w:p w14:paraId="0BFF6640" w14:textId="77777777" w:rsidR="003E631E" w:rsidRPr="003E631E" w:rsidRDefault="003E631E" w:rsidP="00894AA2">
      <w:pPr>
        <w:spacing w:line="276" w:lineRule="auto"/>
        <w:jc w:val="both"/>
        <w:rPr>
          <w:rFonts w:asciiTheme="minorHAnsi" w:hAnsiTheme="minorHAnsi" w:cstheme="minorHAnsi"/>
          <w:szCs w:val="22"/>
        </w:rPr>
      </w:pPr>
    </w:p>
    <w:p w14:paraId="7A394961" w14:textId="5777C29B" w:rsidR="003146D9" w:rsidRPr="00E4000D" w:rsidRDefault="003E631E" w:rsidP="00894AA2">
      <w:pPr>
        <w:pStyle w:val="ListParagraph"/>
        <w:numPr>
          <w:ilvl w:val="0"/>
          <w:numId w:val="54"/>
        </w:numPr>
        <w:spacing w:line="276" w:lineRule="auto"/>
        <w:ind w:left="1418" w:hanging="643"/>
        <w:jc w:val="both"/>
        <w:rPr>
          <w:rFonts w:asciiTheme="minorHAnsi" w:hAnsiTheme="minorHAnsi" w:cstheme="minorHAnsi"/>
          <w:szCs w:val="22"/>
        </w:rPr>
      </w:pPr>
      <w:r w:rsidRPr="00786673">
        <w:rPr>
          <w:rFonts w:asciiTheme="minorHAnsi" w:hAnsiTheme="minorHAnsi" w:cstheme="minorHAnsi"/>
          <w:szCs w:val="22"/>
        </w:rPr>
        <w:t xml:space="preserve">For firms preferring to use the 12 months period based on </w:t>
      </w:r>
      <w:r w:rsidR="0054230D" w:rsidRPr="00786673">
        <w:rPr>
          <w:rFonts w:asciiTheme="minorHAnsi" w:hAnsiTheme="minorHAnsi" w:cstheme="minorHAnsi"/>
          <w:szCs w:val="22"/>
        </w:rPr>
        <w:t xml:space="preserve">a </w:t>
      </w:r>
      <w:r w:rsidRPr="00786673">
        <w:rPr>
          <w:rFonts w:asciiTheme="minorHAnsi" w:hAnsiTheme="minorHAnsi" w:cstheme="minorHAnsi"/>
          <w:szCs w:val="22"/>
        </w:rPr>
        <w:t xml:space="preserve">calendar year </w:t>
      </w:r>
      <w:r w:rsidR="0054230D" w:rsidRPr="00786673">
        <w:rPr>
          <w:rFonts w:asciiTheme="minorHAnsi" w:hAnsiTheme="minorHAnsi" w:cstheme="minorHAnsi"/>
          <w:szCs w:val="22"/>
        </w:rPr>
        <w:t xml:space="preserve">of </w:t>
      </w:r>
      <w:r w:rsidRPr="00786673">
        <w:rPr>
          <w:rFonts w:asciiTheme="minorHAnsi" w:hAnsiTheme="minorHAnsi" w:cstheme="minorHAnsi"/>
          <w:szCs w:val="22"/>
        </w:rPr>
        <w:t>Jan</w:t>
      </w:r>
      <w:r w:rsidR="008D0671">
        <w:rPr>
          <w:rFonts w:asciiTheme="minorHAnsi" w:hAnsiTheme="minorHAnsi" w:cstheme="minorHAnsi"/>
          <w:szCs w:val="22"/>
        </w:rPr>
        <w:t>uary</w:t>
      </w:r>
      <w:r w:rsidRPr="00786673">
        <w:rPr>
          <w:rFonts w:asciiTheme="minorHAnsi" w:hAnsiTheme="minorHAnsi" w:cstheme="minorHAnsi"/>
          <w:szCs w:val="22"/>
        </w:rPr>
        <w:t xml:space="preserve"> to Dec</w:t>
      </w:r>
      <w:r w:rsidR="008D0671">
        <w:rPr>
          <w:rFonts w:asciiTheme="minorHAnsi" w:hAnsiTheme="minorHAnsi" w:cstheme="minorHAnsi"/>
          <w:szCs w:val="22"/>
        </w:rPr>
        <w:t>ember:</w:t>
      </w:r>
    </w:p>
    <w:p w14:paraId="567FB8D1" w14:textId="2AC1D732" w:rsidR="003E631E" w:rsidRPr="00786673" w:rsidRDefault="0054230D" w:rsidP="00894AA2">
      <w:pPr>
        <w:pStyle w:val="ListParagraph"/>
        <w:numPr>
          <w:ilvl w:val="0"/>
          <w:numId w:val="60"/>
        </w:numPr>
        <w:spacing w:line="276" w:lineRule="auto"/>
        <w:jc w:val="both"/>
        <w:rPr>
          <w:rFonts w:asciiTheme="minorHAnsi" w:hAnsiTheme="minorHAnsi" w:cstheme="minorHAnsi"/>
          <w:szCs w:val="22"/>
        </w:rPr>
      </w:pPr>
      <w:r>
        <w:rPr>
          <w:rFonts w:asciiTheme="minorHAnsi" w:hAnsiTheme="minorHAnsi" w:cstheme="minorHAnsi"/>
          <w:szCs w:val="22"/>
        </w:rPr>
        <w:t>The first</w:t>
      </w:r>
      <w:r w:rsidR="003E631E" w:rsidRPr="00786673">
        <w:rPr>
          <w:rFonts w:asciiTheme="minorHAnsi" w:hAnsiTheme="minorHAnsi" w:cstheme="minorHAnsi"/>
          <w:szCs w:val="22"/>
        </w:rPr>
        <w:t xml:space="preserve"> Ex-Post </w:t>
      </w:r>
      <w:r w:rsidR="00386E31">
        <w:rPr>
          <w:rFonts w:asciiTheme="minorHAnsi" w:hAnsiTheme="minorHAnsi" w:cstheme="minorHAnsi"/>
          <w:szCs w:val="22"/>
        </w:rPr>
        <w:t xml:space="preserve">statements </w:t>
      </w:r>
      <w:r w:rsidR="003E631E" w:rsidRPr="00786673">
        <w:rPr>
          <w:rFonts w:asciiTheme="minorHAnsi" w:hAnsiTheme="minorHAnsi" w:cstheme="minorHAnsi"/>
          <w:szCs w:val="22"/>
        </w:rPr>
        <w:t xml:space="preserve">should cover the calculation period </w:t>
      </w:r>
      <w:r w:rsidR="00386E31">
        <w:rPr>
          <w:rFonts w:asciiTheme="minorHAnsi" w:hAnsiTheme="minorHAnsi" w:cstheme="minorHAnsi"/>
          <w:szCs w:val="22"/>
        </w:rPr>
        <w:t xml:space="preserve">for the </w:t>
      </w:r>
      <w:r w:rsidR="003E631E" w:rsidRPr="00786673">
        <w:rPr>
          <w:rFonts w:asciiTheme="minorHAnsi" w:hAnsiTheme="minorHAnsi" w:cstheme="minorHAnsi"/>
          <w:szCs w:val="22"/>
        </w:rPr>
        <w:t>12 months from 3 Jan</w:t>
      </w:r>
      <w:r w:rsidR="008D0671">
        <w:rPr>
          <w:rFonts w:asciiTheme="minorHAnsi" w:hAnsiTheme="minorHAnsi" w:cstheme="minorHAnsi"/>
          <w:szCs w:val="22"/>
        </w:rPr>
        <w:t>uary</w:t>
      </w:r>
      <w:r w:rsidR="003E631E" w:rsidRPr="00786673">
        <w:rPr>
          <w:rFonts w:asciiTheme="minorHAnsi" w:hAnsiTheme="minorHAnsi" w:cstheme="minorHAnsi"/>
          <w:szCs w:val="22"/>
        </w:rPr>
        <w:t xml:space="preserve"> 2018 </w:t>
      </w:r>
      <w:r w:rsidR="008D0671">
        <w:rPr>
          <w:rFonts w:asciiTheme="minorHAnsi" w:hAnsiTheme="minorHAnsi" w:cstheme="minorHAnsi"/>
          <w:szCs w:val="22"/>
        </w:rPr>
        <w:t>through</w:t>
      </w:r>
      <w:r w:rsidR="00386E31" w:rsidRPr="00386E31">
        <w:rPr>
          <w:rFonts w:asciiTheme="minorHAnsi" w:hAnsiTheme="minorHAnsi" w:cstheme="minorHAnsi"/>
          <w:szCs w:val="22"/>
        </w:rPr>
        <w:t xml:space="preserve"> 2 Jan</w:t>
      </w:r>
      <w:r w:rsidR="008D0671">
        <w:rPr>
          <w:rFonts w:asciiTheme="minorHAnsi" w:hAnsiTheme="minorHAnsi" w:cstheme="minorHAnsi"/>
          <w:szCs w:val="22"/>
        </w:rPr>
        <w:t>uary</w:t>
      </w:r>
      <w:r w:rsidR="00386E31" w:rsidRPr="00386E31">
        <w:rPr>
          <w:rFonts w:asciiTheme="minorHAnsi" w:hAnsiTheme="minorHAnsi" w:cstheme="minorHAnsi"/>
          <w:szCs w:val="22"/>
        </w:rPr>
        <w:t xml:space="preserve"> 2019. Ex</w:t>
      </w:r>
      <w:r w:rsidR="00386E31">
        <w:rPr>
          <w:rFonts w:asciiTheme="minorHAnsi" w:hAnsiTheme="minorHAnsi" w:cstheme="minorHAnsi"/>
          <w:szCs w:val="22"/>
        </w:rPr>
        <w:t>-</w:t>
      </w:r>
      <w:r w:rsidR="003E631E" w:rsidRPr="00786673">
        <w:rPr>
          <w:rFonts w:asciiTheme="minorHAnsi" w:hAnsiTheme="minorHAnsi" w:cstheme="minorHAnsi"/>
          <w:szCs w:val="22"/>
        </w:rPr>
        <w:t>Post</w:t>
      </w:r>
      <w:r w:rsidR="00386E31">
        <w:rPr>
          <w:rFonts w:asciiTheme="minorHAnsi" w:hAnsiTheme="minorHAnsi" w:cstheme="minorHAnsi"/>
          <w:szCs w:val="22"/>
        </w:rPr>
        <w:t xml:space="preserve"> statements</w:t>
      </w:r>
      <w:r w:rsidR="00386E31" w:rsidRPr="00386E31">
        <w:rPr>
          <w:rFonts w:asciiTheme="minorHAnsi" w:hAnsiTheme="minorHAnsi" w:cstheme="minorHAnsi"/>
          <w:szCs w:val="22"/>
        </w:rPr>
        <w:t xml:space="preserve"> can be sen</w:t>
      </w:r>
      <w:r w:rsidR="00386E31">
        <w:rPr>
          <w:rFonts w:asciiTheme="minorHAnsi" w:hAnsiTheme="minorHAnsi" w:cstheme="minorHAnsi"/>
          <w:szCs w:val="22"/>
        </w:rPr>
        <w:t>t</w:t>
      </w:r>
      <w:r w:rsidR="003E631E" w:rsidRPr="00786673">
        <w:rPr>
          <w:rFonts w:asciiTheme="minorHAnsi" w:hAnsiTheme="minorHAnsi" w:cstheme="minorHAnsi"/>
          <w:szCs w:val="22"/>
        </w:rPr>
        <w:t xml:space="preserve"> out to </w:t>
      </w:r>
      <w:r w:rsidR="008D0671">
        <w:rPr>
          <w:rFonts w:asciiTheme="minorHAnsi" w:hAnsiTheme="minorHAnsi" w:cstheme="minorHAnsi"/>
          <w:szCs w:val="22"/>
        </w:rPr>
        <w:t xml:space="preserve">the </w:t>
      </w:r>
      <w:r w:rsidR="003E631E" w:rsidRPr="00786673">
        <w:rPr>
          <w:rFonts w:asciiTheme="minorHAnsi" w:hAnsiTheme="minorHAnsi" w:cstheme="minorHAnsi"/>
          <w:szCs w:val="22"/>
        </w:rPr>
        <w:t xml:space="preserve">client by </w:t>
      </w:r>
      <w:r w:rsidR="00753971">
        <w:rPr>
          <w:rFonts w:asciiTheme="minorHAnsi" w:hAnsiTheme="minorHAnsi" w:cstheme="minorHAnsi"/>
          <w:szCs w:val="22"/>
        </w:rPr>
        <w:t>April</w:t>
      </w:r>
      <w:r w:rsidR="003E631E" w:rsidRPr="00786673">
        <w:rPr>
          <w:rFonts w:asciiTheme="minorHAnsi" w:hAnsiTheme="minorHAnsi" w:cstheme="minorHAnsi"/>
          <w:szCs w:val="22"/>
        </w:rPr>
        <w:t xml:space="preserve"> 2019 </w:t>
      </w:r>
      <w:r w:rsidR="00386E31">
        <w:rPr>
          <w:rFonts w:asciiTheme="minorHAnsi" w:hAnsiTheme="minorHAnsi" w:cstheme="minorHAnsi"/>
          <w:szCs w:val="22"/>
        </w:rPr>
        <w:t xml:space="preserve">at the latest </w:t>
      </w:r>
      <w:r w:rsidR="003E631E" w:rsidRPr="00786673">
        <w:rPr>
          <w:rFonts w:asciiTheme="minorHAnsi" w:hAnsiTheme="minorHAnsi" w:cstheme="minorHAnsi"/>
          <w:szCs w:val="22"/>
        </w:rPr>
        <w:t xml:space="preserve">or earlier along with other periodic reports to </w:t>
      </w:r>
      <w:r w:rsidR="00386E31">
        <w:rPr>
          <w:rFonts w:asciiTheme="minorHAnsi" w:hAnsiTheme="minorHAnsi" w:cstheme="minorHAnsi"/>
          <w:szCs w:val="22"/>
        </w:rPr>
        <w:t xml:space="preserve">the </w:t>
      </w:r>
      <w:r w:rsidR="003E631E" w:rsidRPr="00786673">
        <w:rPr>
          <w:rFonts w:asciiTheme="minorHAnsi" w:hAnsiTheme="minorHAnsi" w:cstheme="minorHAnsi"/>
          <w:szCs w:val="22"/>
        </w:rPr>
        <w:t xml:space="preserve">client. </w:t>
      </w:r>
    </w:p>
    <w:p w14:paraId="7CE21106" w14:textId="77777777" w:rsidR="003E631E" w:rsidRPr="003E631E" w:rsidRDefault="003E631E" w:rsidP="00894AA2">
      <w:pPr>
        <w:spacing w:line="276" w:lineRule="auto"/>
        <w:jc w:val="both"/>
        <w:rPr>
          <w:rFonts w:asciiTheme="minorHAnsi" w:hAnsiTheme="minorHAnsi" w:cstheme="minorHAnsi"/>
          <w:szCs w:val="22"/>
        </w:rPr>
      </w:pPr>
    </w:p>
    <w:p w14:paraId="17A0007C" w14:textId="2ABD9B8C" w:rsidR="008D0671" w:rsidRPr="00E4000D" w:rsidRDefault="003E631E" w:rsidP="00894AA2">
      <w:pPr>
        <w:pStyle w:val="ListParagraph"/>
        <w:numPr>
          <w:ilvl w:val="0"/>
          <w:numId w:val="62"/>
        </w:numPr>
        <w:spacing w:line="276" w:lineRule="auto"/>
        <w:jc w:val="both"/>
        <w:rPr>
          <w:rFonts w:asciiTheme="minorHAnsi" w:hAnsiTheme="minorHAnsi" w:cstheme="minorHAnsi"/>
          <w:szCs w:val="22"/>
        </w:rPr>
      </w:pPr>
      <w:r w:rsidRPr="00786673">
        <w:rPr>
          <w:rFonts w:asciiTheme="minorHAnsi" w:hAnsiTheme="minorHAnsi" w:cstheme="minorHAnsi"/>
          <w:szCs w:val="22"/>
        </w:rPr>
        <w:t>For firms preferring to use a different 12 months period</w:t>
      </w:r>
      <w:r w:rsidR="00386E31">
        <w:rPr>
          <w:rFonts w:asciiTheme="minorHAnsi" w:hAnsiTheme="minorHAnsi" w:cstheme="minorHAnsi"/>
          <w:szCs w:val="22"/>
        </w:rPr>
        <w:t xml:space="preserve"> -</w:t>
      </w:r>
      <w:r w:rsidRPr="00786673">
        <w:rPr>
          <w:rFonts w:asciiTheme="minorHAnsi" w:hAnsiTheme="minorHAnsi" w:cstheme="minorHAnsi"/>
          <w:szCs w:val="22"/>
        </w:rPr>
        <w:t xml:space="preserve"> say for example 12 months ending in Mar</w:t>
      </w:r>
      <w:r w:rsidR="00753971">
        <w:rPr>
          <w:rFonts w:asciiTheme="minorHAnsi" w:hAnsiTheme="minorHAnsi" w:cstheme="minorHAnsi"/>
          <w:szCs w:val="22"/>
        </w:rPr>
        <w:t>ch</w:t>
      </w:r>
      <w:r w:rsidR="008D0671">
        <w:rPr>
          <w:rFonts w:asciiTheme="minorHAnsi" w:hAnsiTheme="minorHAnsi" w:cstheme="minorHAnsi"/>
          <w:szCs w:val="22"/>
        </w:rPr>
        <w:t>:</w:t>
      </w:r>
    </w:p>
    <w:p w14:paraId="0AE01911" w14:textId="0B097A96" w:rsidR="003146D9" w:rsidRPr="00E4000D" w:rsidRDefault="00386E31" w:rsidP="00894AA2">
      <w:pPr>
        <w:pStyle w:val="ListParagraph"/>
        <w:numPr>
          <w:ilvl w:val="0"/>
          <w:numId w:val="63"/>
        </w:numPr>
        <w:spacing w:line="276" w:lineRule="auto"/>
        <w:ind w:left="1800"/>
        <w:jc w:val="both"/>
        <w:rPr>
          <w:rFonts w:asciiTheme="minorHAnsi" w:hAnsiTheme="minorHAnsi" w:cstheme="minorHAnsi"/>
          <w:szCs w:val="22"/>
        </w:rPr>
      </w:pPr>
      <w:r>
        <w:rPr>
          <w:rFonts w:asciiTheme="minorHAnsi" w:hAnsiTheme="minorHAnsi" w:cstheme="minorHAnsi"/>
          <w:szCs w:val="22"/>
        </w:rPr>
        <w:t xml:space="preserve">The first </w:t>
      </w:r>
      <w:r w:rsidRPr="00386E31">
        <w:rPr>
          <w:rFonts w:asciiTheme="minorHAnsi" w:hAnsiTheme="minorHAnsi" w:cstheme="minorHAnsi"/>
          <w:szCs w:val="22"/>
        </w:rPr>
        <w:t xml:space="preserve">Ex </w:t>
      </w:r>
      <w:r>
        <w:rPr>
          <w:rFonts w:asciiTheme="minorHAnsi" w:hAnsiTheme="minorHAnsi" w:cstheme="minorHAnsi"/>
          <w:szCs w:val="22"/>
        </w:rPr>
        <w:t>-P</w:t>
      </w:r>
      <w:r w:rsidR="003E631E" w:rsidRPr="00786673">
        <w:rPr>
          <w:rFonts w:asciiTheme="minorHAnsi" w:hAnsiTheme="minorHAnsi" w:cstheme="minorHAnsi"/>
          <w:szCs w:val="22"/>
        </w:rPr>
        <w:t xml:space="preserve">ost </w:t>
      </w:r>
      <w:r>
        <w:rPr>
          <w:rFonts w:asciiTheme="minorHAnsi" w:hAnsiTheme="minorHAnsi" w:cstheme="minorHAnsi"/>
          <w:szCs w:val="22"/>
        </w:rPr>
        <w:t xml:space="preserve">statement </w:t>
      </w:r>
      <w:r w:rsidR="003E631E" w:rsidRPr="00786673">
        <w:rPr>
          <w:rFonts w:asciiTheme="minorHAnsi" w:hAnsiTheme="minorHAnsi" w:cstheme="minorHAnsi"/>
          <w:szCs w:val="22"/>
        </w:rPr>
        <w:t>should cover the calculation period of 3 months from 3 Jan</w:t>
      </w:r>
      <w:r w:rsidR="008D0671">
        <w:rPr>
          <w:rFonts w:asciiTheme="minorHAnsi" w:hAnsiTheme="minorHAnsi" w:cstheme="minorHAnsi"/>
          <w:szCs w:val="22"/>
        </w:rPr>
        <w:t>uary</w:t>
      </w:r>
      <w:r w:rsidR="003E631E" w:rsidRPr="00786673">
        <w:rPr>
          <w:rFonts w:asciiTheme="minorHAnsi" w:hAnsiTheme="minorHAnsi" w:cstheme="minorHAnsi"/>
          <w:szCs w:val="22"/>
        </w:rPr>
        <w:t xml:space="preserve"> 2018 to Mar</w:t>
      </w:r>
      <w:r w:rsidR="008D0671">
        <w:rPr>
          <w:rFonts w:asciiTheme="minorHAnsi" w:hAnsiTheme="minorHAnsi" w:cstheme="minorHAnsi"/>
          <w:szCs w:val="22"/>
        </w:rPr>
        <w:t>ch</w:t>
      </w:r>
      <w:r w:rsidR="003E631E" w:rsidRPr="00786673">
        <w:rPr>
          <w:rFonts w:asciiTheme="minorHAnsi" w:hAnsiTheme="minorHAnsi" w:cstheme="minorHAnsi"/>
          <w:szCs w:val="22"/>
        </w:rPr>
        <w:t xml:space="preserve"> 31 2018.   </w:t>
      </w:r>
    </w:p>
    <w:p w14:paraId="6BDAC230" w14:textId="5D6A2B43" w:rsidR="003E631E" w:rsidRDefault="00386E31" w:rsidP="00894AA2">
      <w:pPr>
        <w:pStyle w:val="ListParagraph"/>
        <w:numPr>
          <w:ilvl w:val="0"/>
          <w:numId w:val="63"/>
        </w:numPr>
        <w:spacing w:line="276" w:lineRule="auto"/>
        <w:ind w:left="1800"/>
        <w:jc w:val="both"/>
        <w:rPr>
          <w:rFonts w:asciiTheme="minorHAnsi" w:hAnsiTheme="minorHAnsi" w:cstheme="minorHAnsi"/>
          <w:szCs w:val="22"/>
        </w:rPr>
      </w:pPr>
      <w:r w:rsidRPr="00386E31">
        <w:rPr>
          <w:rFonts w:asciiTheme="minorHAnsi" w:hAnsiTheme="minorHAnsi" w:cstheme="minorHAnsi"/>
          <w:szCs w:val="22"/>
        </w:rPr>
        <w:lastRenderedPageBreak/>
        <w:t>Thereafter the Annual Ex</w:t>
      </w:r>
      <w:r>
        <w:rPr>
          <w:rFonts w:asciiTheme="minorHAnsi" w:hAnsiTheme="minorHAnsi" w:cstheme="minorHAnsi"/>
          <w:szCs w:val="22"/>
        </w:rPr>
        <w:t>-</w:t>
      </w:r>
      <w:r w:rsidR="003E631E" w:rsidRPr="00786673">
        <w:rPr>
          <w:rFonts w:asciiTheme="minorHAnsi" w:hAnsiTheme="minorHAnsi" w:cstheme="minorHAnsi"/>
          <w:szCs w:val="22"/>
        </w:rPr>
        <w:t xml:space="preserve">Post </w:t>
      </w:r>
      <w:r w:rsidR="002B430F">
        <w:rPr>
          <w:rFonts w:asciiTheme="minorHAnsi" w:hAnsiTheme="minorHAnsi" w:cstheme="minorHAnsi"/>
          <w:szCs w:val="22"/>
        </w:rPr>
        <w:t>statement</w:t>
      </w:r>
      <w:r>
        <w:rPr>
          <w:rFonts w:asciiTheme="minorHAnsi" w:hAnsiTheme="minorHAnsi" w:cstheme="minorHAnsi"/>
          <w:szCs w:val="22"/>
        </w:rPr>
        <w:t xml:space="preserve"> </w:t>
      </w:r>
      <w:r w:rsidR="003E631E" w:rsidRPr="00786673">
        <w:rPr>
          <w:rFonts w:asciiTheme="minorHAnsi" w:hAnsiTheme="minorHAnsi" w:cstheme="minorHAnsi"/>
          <w:szCs w:val="22"/>
        </w:rPr>
        <w:t>will cover the calculation period of 12 months from April 2018 to Mar</w:t>
      </w:r>
      <w:r w:rsidR="008D0671">
        <w:rPr>
          <w:rFonts w:asciiTheme="minorHAnsi" w:hAnsiTheme="minorHAnsi" w:cstheme="minorHAnsi"/>
          <w:szCs w:val="22"/>
        </w:rPr>
        <w:t>ch</w:t>
      </w:r>
      <w:r w:rsidR="003E631E" w:rsidRPr="00786673">
        <w:rPr>
          <w:rFonts w:asciiTheme="minorHAnsi" w:hAnsiTheme="minorHAnsi" w:cstheme="minorHAnsi"/>
          <w:szCs w:val="22"/>
        </w:rPr>
        <w:t xml:space="preserve"> 2019 of </w:t>
      </w:r>
      <w:r>
        <w:rPr>
          <w:rFonts w:asciiTheme="minorHAnsi" w:hAnsiTheme="minorHAnsi" w:cstheme="minorHAnsi"/>
          <w:szCs w:val="22"/>
        </w:rPr>
        <w:t xml:space="preserve">the </w:t>
      </w:r>
      <w:r w:rsidR="003E631E" w:rsidRPr="00786673">
        <w:rPr>
          <w:rFonts w:asciiTheme="minorHAnsi" w:hAnsiTheme="minorHAnsi" w:cstheme="minorHAnsi"/>
          <w:szCs w:val="22"/>
        </w:rPr>
        <w:t>next year</w:t>
      </w:r>
      <w:r w:rsidR="008D0671">
        <w:rPr>
          <w:rFonts w:asciiTheme="minorHAnsi" w:hAnsiTheme="minorHAnsi" w:cstheme="minorHAnsi"/>
          <w:szCs w:val="22"/>
        </w:rPr>
        <w:t>.</w:t>
      </w:r>
    </w:p>
    <w:p w14:paraId="45CDFFEE" w14:textId="77777777" w:rsidR="003146D9" w:rsidRPr="00786673" w:rsidRDefault="003146D9" w:rsidP="00894AA2">
      <w:pPr>
        <w:pStyle w:val="ListParagraph"/>
        <w:spacing w:line="276" w:lineRule="auto"/>
        <w:ind w:left="1440"/>
        <w:jc w:val="both"/>
        <w:rPr>
          <w:rFonts w:asciiTheme="minorHAnsi" w:hAnsiTheme="minorHAnsi" w:cstheme="minorHAnsi"/>
          <w:szCs w:val="22"/>
        </w:rPr>
      </w:pPr>
    </w:p>
    <w:p w14:paraId="5A95F42D" w14:textId="7C891263" w:rsidR="003E631E" w:rsidRDefault="003E631E" w:rsidP="00894AA2">
      <w:pPr>
        <w:spacing w:line="276" w:lineRule="auto"/>
        <w:jc w:val="both"/>
        <w:rPr>
          <w:rFonts w:asciiTheme="minorHAnsi" w:hAnsiTheme="minorHAnsi" w:cstheme="minorHAnsi"/>
          <w:szCs w:val="22"/>
        </w:rPr>
      </w:pPr>
      <w:r w:rsidRPr="003E631E">
        <w:rPr>
          <w:rFonts w:asciiTheme="minorHAnsi" w:hAnsiTheme="minorHAnsi" w:cstheme="minorHAnsi"/>
          <w:szCs w:val="22"/>
        </w:rPr>
        <w:t>Note:</w:t>
      </w:r>
      <w:r w:rsidR="008D0671">
        <w:rPr>
          <w:rFonts w:asciiTheme="minorHAnsi" w:hAnsiTheme="minorHAnsi" w:cstheme="minorHAnsi"/>
          <w:szCs w:val="22"/>
        </w:rPr>
        <w:t xml:space="preserve"> </w:t>
      </w:r>
      <w:r w:rsidRPr="003E631E">
        <w:rPr>
          <w:rFonts w:asciiTheme="minorHAnsi" w:hAnsiTheme="minorHAnsi" w:cstheme="minorHAnsi"/>
          <w:szCs w:val="22"/>
        </w:rPr>
        <w:t xml:space="preserve"> if the </w:t>
      </w:r>
      <w:r w:rsidR="00386E31">
        <w:rPr>
          <w:rFonts w:asciiTheme="minorHAnsi" w:hAnsiTheme="minorHAnsi" w:cstheme="minorHAnsi"/>
          <w:szCs w:val="22"/>
        </w:rPr>
        <w:t>first Ex-</w:t>
      </w:r>
      <w:r w:rsidRPr="003E631E">
        <w:rPr>
          <w:rFonts w:asciiTheme="minorHAnsi" w:hAnsiTheme="minorHAnsi" w:cstheme="minorHAnsi"/>
          <w:szCs w:val="22"/>
        </w:rPr>
        <w:t>Post calculation period is very insignificant s</w:t>
      </w:r>
      <w:r w:rsidR="00386E31">
        <w:rPr>
          <w:rFonts w:asciiTheme="minorHAnsi" w:hAnsiTheme="minorHAnsi" w:cstheme="minorHAnsi"/>
          <w:szCs w:val="22"/>
        </w:rPr>
        <w:t>ay it covers less than 3 months; an</w:t>
      </w:r>
      <w:r w:rsidRPr="003E631E">
        <w:rPr>
          <w:rFonts w:asciiTheme="minorHAnsi" w:hAnsiTheme="minorHAnsi" w:cstheme="minorHAnsi"/>
          <w:szCs w:val="22"/>
        </w:rPr>
        <w:t xml:space="preserve"> alternative optio</w:t>
      </w:r>
      <w:r w:rsidR="00386E31">
        <w:rPr>
          <w:rFonts w:asciiTheme="minorHAnsi" w:hAnsiTheme="minorHAnsi" w:cstheme="minorHAnsi"/>
          <w:szCs w:val="22"/>
        </w:rPr>
        <w:t xml:space="preserve">n is to generate a combined first </w:t>
      </w:r>
      <w:r w:rsidR="002B430F">
        <w:rPr>
          <w:rFonts w:asciiTheme="minorHAnsi" w:hAnsiTheme="minorHAnsi" w:cstheme="minorHAnsi"/>
          <w:szCs w:val="22"/>
        </w:rPr>
        <w:t>Ex-</w:t>
      </w:r>
      <w:r w:rsidRPr="003E631E">
        <w:rPr>
          <w:rFonts w:asciiTheme="minorHAnsi" w:hAnsiTheme="minorHAnsi" w:cstheme="minorHAnsi"/>
          <w:szCs w:val="22"/>
        </w:rPr>
        <w:t>Post report for more than 12 months.</w:t>
      </w:r>
    </w:p>
    <w:p w14:paraId="28251C8F" w14:textId="77777777" w:rsidR="004E57CA" w:rsidRDefault="004E57CA" w:rsidP="00894AA2">
      <w:pPr>
        <w:spacing w:line="276" w:lineRule="auto"/>
        <w:jc w:val="both"/>
        <w:rPr>
          <w:rFonts w:asciiTheme="minorHAnsi" w:hAnsiTheme="minorHAnsi" w:cstheme="minorHAnsi"/>
          <w:szCs w:val="22"/>
        </w:rPr>
      </w:pPr>
    </w:p>
    <w:p w14:paraId="32C56D92" w14:textId="5D187C95" w:rsidR="004E57CA" w:rsidRPr="006757FC" w:rsidRDefault="00DC29C6" w:rsidP="00894AA2">
      <w:pPr>
        <w:spacing w:line="276" w:lineRule="auto"/>
        <w:jc w:val="both"/>
        <w:rPr>
          <w:rFonts w:asciiTheme="minorHAnsi" w:hAnsiTheme="minorHAnsi" w:cstheme="minorHAnsi"/>
          <w:b/>
          <w:szCs w:val="22"/>
        </w:rPr>
      </w:pPr>
      <w:r w:rsidRPr="006757FC">
        <w:rPr>
          <w:rFonts w:asciiTheme="minorHAnsi" w:hAnsiTheme="minorHAnsi" w:cstheme="minorHAnsi"/>
          <w:b/>
          <w:szCs w:val="22"/>
        </w:rPr>
        <w:t xml:space="preserve">TISA considered ex post disclosure requirements during 2018 in the context of </w:t>
      </w:r>
      <w:r w:rsidR="004E57CA" w:rsidRPr="006757FC">
        <w:rPr>
          <w:rFonts w:asciiTheme="minorHAnsi" w:hAnsiTheme="minorHAnsi" w:cstheme="minorHAnsi"/>
          <w:b/>
          <w:szCs w:val="22"/>
        </w:rPr>
        <w:t xml:space="preserve">ESMA Investor Protection Q &amp; </w:t>
      </w:r>
      <w:r w:rsidR="00107703" w:rsidRPr="00107703">
        <w:rPr>
          <w:rFonts w:asciiTheme="minorHAnsi" w:hAnsiTheme="minorHAnsi" w:cstheme="minorHAnsi"/>
          <w:b/>
          <w:szCs w:val="22"/>
        </w:rPr>
        <w:t>A,</w:t>
      </w:r>
      <w:r w:rsidR="004E57CA" w:rsidRPr="006757FC">
        <w:rPr>
          <w:rFonts w:asciiTheme="minorHAnsi" w:hAnsiTheme="minorHAnsi" w:cstheme="minorHAnsi"/>
          <w:b/>
          <w:szCs w:val="22"/>
        </w:rPr>
        <w:t xml:space="preserve"> Q</w:t>
      </w:r>
      <w:r w:rsidR="00E00638">
        <w:rPr>
          <w:rFonts w:asciiTheme="minorHAnsi" w:hAnsiTheme="minorHAnsi" w:cstheme="minorHAnsi"/>
          <w:b/>
          <w:szCs w:val="22"/>
        </w:rPr>
        <w:t>uestion</w:t>
      </w:r>
      <w:r w:rsidR="004E57CA" w:rsidRPr="006757FC">
        <w:rPr>
          <w:rFonts w:asciiTheme="minorHAnsi" w:hAnsiTheme="minorHAnsi" w:cstheme="minorHAnsi"/>
          <w:b/>
          <w:szCs w:val="22"/>
        </w:rPr>
        <w:t xml:space="preserve"> 21</w:t>
      </w:r>
      <w:r w:rsidRPr="006757FC">
        <w:rPr>
          <w:rFonts w:asciiTheme="minorHAnsi" w:hAnsiTheme="minorHAnsi" w:cstheme="minorHAnsi"/>
          <w:b/>
          <w:szCs w:val="22"/>
        </w:rPr>
        <w:t>.</w:t>
      </w:r>
      <w:r w:rsidR="004E57CA" w:rsidRPr="006757FC">
        <w:rPr>
          <w:rFonts w:asciiTheme="minorHAnsi" w:hAnsiTheme="minorHAnsi" w:cstheme="minorHAnsi"/>
          <w:b/>
          <w:szCs w:val="22"/>
        </w:rPr>
        <w:t xml:space="preserve"> </w:t>
      </w:r>
      <w:r w:rsidR="00685F33" w:rsidRPr="006757FC">
        <w:rPr>
          <w:rFonts w:asciiTheme="minorHAnsi" w:hAnsiTheme="minorHAnsi" w:cstheme="minorHAnsi"/>
          <w:b/>
          <w:szCs w:val="22"/>
        </w:rPr>
        <w:t xml:space="preserve"> </w:t>
      </w:r>
      <w:r w:rsidR="004E57CA" w:rsidRPr="006757FC">
        <w:rPr>
          <w:rFonts w:asciiTheme="minorHAnsi" w:hAnsiTheme="minorHAnsi" w:cstheme="minorHAnsi"/>
          <w:b/>
          <w:szCs w:val="22"/>
        </w:rPr>
        <w:t>TISA</w:t>
      </w:r>
      <w:r w:rsidRPr="006757FC">
        <w:rPr>
          <w:rFonts w:asciiTheme="minorHAnsi" w:hAnsiTheme="minorHAnsi" w:cstheme="minorHAnsi"/>
          <w:b/>
          <w:szCs w:val="22"/>
        </w:rPr>
        <w:t xml:space="preserve">’s </w:t>
      </w:r>
      <w:r w:rsidR="004E57CA" w:rsidRPr="006757FC">
        <w:rPr>
          <w:rFonts w:asciiTheme="minorHAnsi" w:hAnsiTheme="minorHAnsi" w:cstheme="minorHAnsi"/>
          <w:b/>
          <w:szCs w:val="22"/>
        </w:rPr>
        <w:t xml:space="preserve">view </w:t>
      </w:r>
      <w:r w:rsidRPr="006757FC">
        <w:rPr>
          <w:rFonts w:asciiTheme="minorHAnsi" w:hAnsiTheme="minorHAnsi" w:cstheme="minorHAnsi"/>
          <w:b/>
          <w:szCs w:val="22"/>
        </w:rPr>
        <w:t xml:space="preserve">is that the ongoing MiFID II relationship referred to in the Answer to </w:t>
      </w:r>
      <w:r w:rsidR="00107703" w:rsidRPr="00107703">
        <w:rPr>
          <w:rFonts w:asciiTheme="minorHAnsi" w:hAnsiTheme="minorHAnsi" w:cstheme="minorHAnsi"/>
          <w:b/>
          <w:szCs w:val="22"/>
        </w:rPr>
        <w:t>Q21</w:t>
      </w:r>
      <w:r w:rsidRPr="006757FC">
        <w:rPr>
          <w:rFonts w:asciiTheme="minorHAnsi" w:hAnsiTheme="minorHAnsi" w:cstheme="minorHAnsi"/>
          <w:b/>
          <w:szCs w:val="22"/>
        </w:rPr>
        <w:t xml:space="preserve"> commences on 3</w:t>
      </w:r>
      <w:r w:rsidRPr="006757FC">
        <w:rPr>
          <w:rFonts w:asciiTheme="minorHAnsi" w:hAnsiTheme="minorHAnsi" w:cstheme="minorHAnsi"/>
          <w:b/>
          <w:szCs w:val="22"/>
          <w:vertAlign w:val="superscript"/>
        </w:rPr>
        <w:t>rd</w:t>
      </w:r>
      <w:r w:rsidRPr="006757FC">
        <w:rPr>
          <w:rFonts w:asciiTheme="minorHAnsi" w:hAnsiTheme="minorHAnsi" w:cstheme="minorHAnsi"/>
          <w:b/>
          <w:szCs w:val="22"/>
        </w:rPr>
        <w:t xml:space="preserve"> January, 2018, when MiFID II is implemented. Therefore, </w:t>
      </w:r>
      <w:r w:rsidR="004E57CA" w:rsidRPr="006757FC">
        <w:rPr>
          <w:rFonts w:asciiTheme="minorHAnsi" w:hAnsiTheme="minorHAnsi" w:cstheme="minorHAnsi"/>
          <w:b/>
          <w:szCs w:val="22"/>
        </w:rPr>
        <w:t>firms can select 1</w:t>
      </w:r>
      <w:r w:rsidR="00685F33" w:rsidRPr="006757FC">
        <w:rPr>
          <w:rFonts w:asciiTheme="minorHAnsi" w:hAnsiTheme="minorHAnsi" w:cstheme="minorHAnsi"/>
          <w:b/>
          <w:szCs w:val="22"/>
          <w:vertAlign w:val="superscript"/>
        </w:rPr>
        <w:t>st</w:t>
      </w:r>
      <w:r w:rsidR="004E57CA" w:rsidRPr="006757FC">
        <w:rPr>
          <w:rFonts w:asciiTheme="minorHAnsi" w:hAnsiTheme="minorHAnsi" w:cstheme="minorHAnsi"/>
          <w:b/>
          <w:szCs w:val="22"/>
        </w:rPr>
        <w:t xml:space="preserve"> January as the Annual anniversary date of the relevant service commencing with the client.  However, if firms w</w:t>
      </w:r>
      <w:r w:rsidRPr="006757FC">
        <w:rPr>
          <w:rFonts w:asciiTheme="minorHAnsi" w:hAnsiTheme="minorHAnsi" w:cstheme="minorHAnsi"/>
          <w:b/>
          <w:szCs w:val="22"/>
        </w:rPr>
        <w:t>ish</w:t>
      </w:r>
      <w:r w:rsidR="004E57CA" w:rsidRPr="006757FC">
        <w:rPr>
          <w:rFonts w:asciiTheme="minorHAnsi" w:hAnsiTheme="minorHAnsi" w:cstheme="minorHAnsi"/>
          <w:b/>
          <w:szCs w:val="22"/>
        </w:rPr>
        <w:t xml:space="preserve"> to provide an interim report during 2018, </w:t>
      </w:r>
      <w:r w:rsidRPr="006757FC">
        <w:rPr>
          <w:rFonts w:asciiTheme="minorHAnsi" w:hAnsiTheme="minorHAnsi" w:cstheme="minorHAnsi"/>
          <w:b/>
          <w:szCs w:val="22"/>
        </w:rPr>
        <w:t>(for example, to enable future annual reporting to be on say a March, or April, or other date)</w:t>
      </w:r>
      <w:r w:rsidR="00685F33" w:rsidRPr="006757FC">
        <w:rPr>
          <w:rFonts w:asciiTheme="minorHAnsi" w:hAnsiTheme="minorHAnsi" w:cstheme="minorHAnsi"/>
          <w:b/>
          <w:szCs w:val="22"/>
        </w:rPr>
        <w:t xml:space="preserve"> </w:t>
      </w:r>
      <w:r w:rsidR="004E57CA" w:rsidRPr="006757FC">
        <w:rPr>
          <w:rFonts w:asciiTheme="minorHAnsi" w:hAnsiTheme="minorHAnsi" w:cstheme="minorHAnsi"/>
          <w:b/>
          <w:szCs w:val="22"/>
        </w:rPr>
        <w:t>they should provide cost</w:t>
      </w:r>
      <w:r w:rsidR="001707B3">
        <w:rPr>
          <w:rFonts w:asciiTheme="minorHAnsi" w:hAnsiTheme="minorHAnsi" w:cstheme="minorHAnsi"/>
          <w:b/>
          <w:szCs w:val="22"/>
        </w:rPr>
        <w:t>s</w:t>
      </w:r>
      <w:r w:rsidR="004E57CA" w:rsidRPr="006757FC">
        <w:rPr>
          <w:rFonts w:asciiTheme="minorHAnsi" w:hAnsiTheme="minorHAnsi" w:cstheme="minorHAnsi"/>
          <w:b/>
          <w:szCs w:val="22"/>
        </w:rPr>
        <w:t xml:space="preserve"> and charges </w:t>
      </w:r>
      <w:r w:rsidR="00E00638">
        <w:rPr>
          <w:rFonts w:asciiTheme="minorHAnsi" w:hAnsiTheme="minorHAnsi" w:cstheme="minorHAnsi"/>
          <w:b/>
          <w:szCs w:val="22"/>
        </w:rPr>
        <w:t>for the period in 2018 to the date of the report and either annualize</w:t>
      </w:r>
      <w:r w:rsidR="001707B3">
        <w:rPr>
          <w:rFonts w:asciiTheme="minorHAnsi" w:hAnsiTheme="minorHAnsi" w:cstheme="minorHAnsi"/>
          <w:b/>
          <w:szCs w:val="22"/>
        </w:rPr>
        <w:t xml:space="preserve"> to show a full year effect</w:t>
      </w:r>
      <w:r w:rsidR="00E00638">
        <w:rPr>
          <w:rFonts w:asciiTheme="minorHAnsi" w:hAnsiTheme="minorHAnsi" w:cstheme="minorHAnsi"/>
          <w:b/>
          <w:szCs w:val="22"/>
        </w:rPr>
        <w:t xml:space="preserve">, if that will not be misleading, or </w:t>
      </w:r>
      <w:r w:rsidR="001707B3">
        <w:rPr>
          <w:rFonts w:asciiTheme="minorHAnsi" w:hAnsiTheme="minorHAnsi" w:cstheme="minorHAnsi"/>
          <w:b/>
          <w:szCs w:val="22"/>
        </w:rPr>
        <w:t>show the figures solely for the 2018 period and state</w:t>
      </w:r>
      <w:r w:rsidR="00EA0E1F">
        <w:rPr>
          <w:rFonts w:asciiTheme="minorHAnsi" w:hAnsiTheme="minorHAnsi" w:cstheme="minorHAnsi"/>
          <w:b/>
          <w:szCs w:val="22"/>
        </w:rPr>
        <w:t xml:space="preserve"> </w:t>
      </w:r>
      <w:r w:rsidR="001707B3">
        <w:rPr>
          <w:rFonts w:asciiTheme="minorHAnsi" w:hAnsiTheme="minorHAnsi" w:cstheme="minorHAnsi"/>
          <w:b/>
          <w:szCs w:val="22"/>
        </w:rPr>
        <w:t xml:space="preserve">that </w:t>
      </w:r>
      <w:r w:rsidR="004E57CA" w:rsidRPr="006757FC">
        <w:rPr>
          <w:rFonts w:asciiTheme="minorHAnsi" w:hAnsiTheme="minorHAnsi" w:cstheme="minorHAnsi"/>
          <w:b/>
          <w:szCs w:val="22"/>
        </w:rPr>
        <w:t>there are no comparable figures for 2017</w:t>
      </w:r>
      <w:r w:rsidR="001707B3">
        <w:rPr>
          <w:rFonts w:asciiTheme="minorHAnsi" w:hAnsiTheme="minorHAnsi" w:cstheme="minorHAnsi"/>
          <w:b/>
          <w:szCs w:val="22"/>
        </w:rPr>
        <w:t>.  Firms should</w:t>
      </w:r>
      <w:r w:rsidR="001707B3" w:rsidRPr="001707B3">
        <w:rPr>
          <w:rFonts w:asciiTheme="minorHAnsi" w:hAnsiTheme="minorHAnsi" w:cstheme="minorHAnsi"/>
          <w:b/>
          <w:szCs w:val="22"/>
        </w:rPr>
        <w:t xml:space="preserve"> </w:t>
      </w:r>
      <w:r w:rsidR="00685F33" w:rsidRPr="006757FC">
        <w:rPr>
          <w:rFonts w:asciiTheme="minorHAnsi" w:hAnsiTheme="minorHAnsi" w:cstheme="minorHAnsi"/>
          <w:b/>
          <w:szCs w:val="22"/>
        </w:rPr>
        <w:t>explain why</w:t>
      </w:r>
      <w:r w:rsidR="001707B3">
        <w:rPr>
          <w:rFonts w:asciiTheme="minorHAnsi" w:hAnsiTheme="minorHAnsi" w:cstheme="minorHAnsi"/>
          <w:b/>
          <w:szCs w:val="22"/>
        </w:rPr>
        <w:t xml:space="preserve"> this is the case</w:t>
      </w:r>
      <w:r w:rsidR="00685F33" w:rsidRPr="006757FC">
        <w:rPr>
          <w:rFonts w:asciiTheme="minorHAnsi" w:hAnsiTheme="minorHAnsi" w:cstheme="minorHAnsi"/>
          <w:b/>
          <w:szCs w:val="22"/>
        </w:rPr>
        <w:t>, such as that data on a MiFID II compliant basis is not available prior to 2018</w:t>
      </w:r>
      <w:r w:rsidR="001707B3">
        <w:rPr>
          <w:rFonts w:asciiTheme="minorHAnsi" w:hAnsiTheme="minorHAnsi" w:cstheme="minorHAnsi"/>
          <w:b/>
          <w:szCs w:val="22"/>
        </w:rPr>
        <w:t>, and that reports for subsequent periods will have such costs and charges figures</w:t>
      </w:r>
      <w:r w:rsidR="004E57CA" w:rsidRPr="006757FC">
        <w:rPr>
          <w:rFonts w:asciiTheme="minorHAnsi" w:hAnsiTheme="minorHAnsi" w:cstheme="minorHAnsi"/>
          <w:b/>
          <w:szCs w:val="22"/>
        </w:rPr>
        <w:t xml:space="preserve">.  </w:t>
      </w:r>
    </w:p>
    <w:p w14:paraId="45C538F7" w14:textId="77777777" w:rsidR="003E631E" w:rsidRPr="003E631E" w:rsidRDefault="003E631E" w:rsidP="00894AA2">
      <w:pPr>
        <w:spacing w:line="276" w:lineRule="auto"/>
        <w:jc w:val="both"/>
        <w:rPr>
          <w:rFonts w:asciiTheme="minorHAnsi" w:hAnsiTheme="minorHAnsi" w:cstheme="minorHAnsi"/>
          <w:szCs w:val="22"/>
        </w:rPr>
      </w:pPr>
    </w:p>
    <w:p w14:paraId="3A2734AC" w14:textId="5AF25930" w:rsidR="003E631E" w:rsidRPr="00E4000D" w:rsidRDefault="002B430F" w:rsidP="00894AA2">
      <w:pPr>
        <w:spacing w:line="276" w:lineRule="auto"/>
        <w:jc w:val="both"/>
        <w:rPr>
          <w:rFonts w:asciiTheme="minorHAnsi" w:hAnsiTheme="minorHAnsi" w:cstheme="minorHAnsi"/>
          <w:b/>
          <w:szCs w:val="22"/>
        </w:rPr>
      </w:pPr>
      <w:r w:rsidRPr="00E4000D">
        <w:rPr>
          <w:rFonts w:asciiTheme="minorHAnsi" w:hAnsiTheme="minorHAnsi" w:cstheme="minorHAnsi"/>
          <w:b/>
          <w:szCs w:val="22"/>
        </w:rPr>
        <w:t xml:space="preserve">For new clients joining from </w:t>
      </w:r>
      <w:r w:rsidR="003E631E" w:rsidRPr="00E4000D">
        <w:rPr>
          <w:rFonts w:asciiTheme="minorHAnsi" w:hAnsiTheme="minorHAnsi" w:cstheme="minorHAnsi"/>
          <w:b/>
          <w:szCs w:val="22"/>
        </w:rPr>
        <w:t xml:space="preserve">2018 onwards, when will the </w:t>
      </w:r>
      <w:r w:rsidRPr="00E4000D">
        <w:rPr>
          <w:rFonts w:asciiTheme="minorHAnsi" w:hAnsiTheme="minorHAnsi" w:cstheme="minorHAnsi"/>
          <w:b/>
          <w:szCs w:val="22"/>
        </w:rPr>
        <w:t>first Ex-</w:t>
      </w:r>
      <w:r w:rsidR="003E631E" w:rsidRPr="00E4000D">
        <w:rPr>
          <w:rFonts w:asciiTheme="minorHAnsi" w:hAnsiTheme="minorHAnsi" w:cstheme="minorHAnsi"/>
          <w:b/>
          <w:szCs w:val="22"/>
        </w:rPr>
        <w:t>Post report be generated?</w:t>
      </w:r>
    </w:p>
    <w:p w14:paraId="0D1C7544" w14:textId="77777777" w:rsidR="003E631E" w:rsidRPr="003E631E" w:rsidRDefault="003E631E" w:rsidP="00894AA2">
      <w:pPr>
        <w:spacing w:line="276" w:lineRule="auto"/>
        <w:jc w:val="both"/>
        <w:rPr>
          <w:rFonts w:asciiTheme="minorHAnsi" w:hAnsiTheme="minorHAnsi" w:cstheme="minorHAnsi"/>
          <w:szCs w:val="22"/>
        </w:rPr>
      </w:pPr>
    </w:p>
    <w:p w14:paraId="728D9504" w14:textId="1DEC9878" w:rsidR="003E631E" w:rsidRPr="00E4000D" w:rsidRDefault="002B430F" w:rsidP="00894AA2">
      <w:pPr>
        <w:pStyle w:val="ListParagraph"/>
        <w:numPr>
          <w:ilvl w:val="0"/>
          <w:numId w:val="62"/>
        </w:numPr>
        <w:spacing w:line="276" w:lineRule="auto"/>
        <w:jc w:val="both"/>
        <w:rPr>
          <w:rFonts w:asciiTheme="minorHAnsi" w:hAnsiTheme="minorHAnsi" w:cstheme="minorHAnsi"/>
          <w:szCs w:val="22"/>
        </w:rPr>
      </w:pPr>
      <w:r w:rsidRPr="000D06F2">
        <w:rPr>
          <w:rFonts w:asciiTheme="minorHAnsi" w:hAnsiTheme="minorHAnsi" w:cstheme="minorHAnsi"/>
          <w:szCs w:val="22"/>
        </w:rPr>
        <w:t>This again depends on the Ex</w:t>
      </w:r>
      <w:r>
        <w:rPr>
          <w:rFonts w:asciiTheme="minorHAnsi" w:hAnsiTheme="minorHAnsi" w:cstheme="minorHAnsi"/>
          <w:szCs w:val="22"/>
        </w:rPr>
        <w:t>-</w:t>
      </w:r>
      <w:r w:rsidR="003E631E" w:rsidRPr="00786673">
        <w:rPr>
          <w:rFonts w:asciiTheme="minorHAnsi" w:hAnsiTheme="minorHAnsi" w:cstheme="minorHAnsi"/>
          <w:szCs w:val="22"/>
        </w:rPr>
        <w:t>Post 12 months calculation period the firm wishes to follow as already explained above</w:t>
      </w:r>
      <w:r w:rsidR="008D0671">
        <w:rPr>
          <w:rFonts w:asciiTheme="minorHAnsi" w:hAnsiTheme="minorHAnsi" w:cstheme="minorHAnsi"/>
          <w:szCs w:val="22"/>
        </w:rPr>
        <w:t xml:space="preserve">.  </w:t>
      </w:r>
      <w:r w:rsidR="003E631E" w:rsidRPr="00E4000D">
        <w:rPr>
          <w:rFonts w:asciiTheme="minorHAnsi" w:hAnsiTheme="minorHAnsi" w:cstheme="minorHAnsi"/>
          <w:szCs w:val="22"/>
        </w:rPr>
        <w:t>For example if a client joins on 1 Mar</w:t>
      </w:r>
      <w:r w:rsidR="008D0671" w:rsidRPr="00E4000D">
        <w:rPr>
          <w:rFonts w:asciiTheme="minorHAnsi" w:hAnsiTheme="minorHAnsi" w:cstheme="minorHAnsi"/>
          <w:szCs w:val="22"/>
        </w:rPr>
        <w:t>ch</w:t>
      </w:r>
      <w:r w:rsidR="003E631E" w:rsidRPr="00E4000D">
        <w:rPr>
          <w:rFonts w:asciiTheme="minorHAnsi" w:hAnsiTheme="minorHAnsi" w:cstheme="minorHAnsi"/>
          <w:szCs w:val="22"/>
        </w:rPr>
        <w:t xml:space="preserve"> 2018 and the firms follows a July to June annual Ex</w:t>
      </w:r>
      <w:r w:rsidR="008D0671" w:rsidRPr="00E4000D">
        <w:rPr>
          <w:rFonts w:asciiTheme="minorHAnsi" w:hAnsiTheme="minorHAnsi" w:cstheme="minorHAnsi"/>
          <w:szCs w:val="22"/>
        </w:rPr>
        <w:t>-</w:t>
      </w:r>
      <w:r w:rsidR="003E631E" w:rsidRPr="00E4000D">
        <w:rPr>
          <w:rFonts w:asciiTheme="minorHAnsi" w:hAnsiTheme="minorHAnsi" w:cstheme="minorHAnsi"/>
          <w:szCs w:val="22"/>
        </w:rPr>
        <w:t>Post calculation period</w:t>
      </w:r>
    </w:p>
    <w:p w14:paraId="3C9AB077" w14:textId="18A1FF93" w:rsidR="003E631E" w:rsidRPr="000D06F2" w:rsidRDefault="004156DB" w:rsidP="00894AA2">
      <w:pPr>
        <w:pStyle w:val="ListParagraph"/>
        <w:numPr>
          <w:ilvl w:val="0"/>
          <w:numId w:val="82"/>
        </w:numPr>
        <w:spacing w:line="276" w:lineRule="auto"/>
        <w:jc w:val="both"/>
        <w:rPr>
          <w:rFonts w:asciiTheme="minorHAnsi" w:hAnsiTheme="minorHAnsi" w:cstheme="minorHAnsi"/>
          <w:szCs w:val="22"/>
        </w:rPr>
      </w:pPr>
      <w:r>
        <w:rPr>
          <w:rFonts w:asciiTheme="minorHAnsi" w:hAnsiTheme="minorHAnsi" w:cstheme="minorHAnsi"/>
          <w:szCs w:val="22"/>
        </w:rPr>
        <w:t>T</w:t>
      </w:r>
      <w:r w:rsidR="002B430F">
        <w:rPr>
          <w:rFonts w:asciiTheme="minorHAnsi" w:hAnsiTheme="minorHAnsi" w:cstheme="minorHAnsi"/>
          <w:szCs w:val="22"/>
        </w:rPr>
        <w:t>he firs</w:t>
      </w:r>
      <w:r w:rsidR="003E631E" w:rsidRPr="000D06F2">
        <w:rPr>
          <w:rFonts w:asciiTheme="minorHAnsi" w:hAnsiTheme="minorHAnsi" w:cstheme="minorHAnsi"/>
          <w:szCs w:val="22"/>
        </w:rPr>
        <w:t>t Ex</w:t>
      </w:r>
      <w:r w:rsidR="008D0671">
        <w:rPr>
          <w:rFonts w:asciiTheme="minorHAnsi" w:hAnsiTheme="minorHAnsi" w:cstheme="minorHAnsi"/>
          <w:szCs w:val="22"/>
        </w:rPr>
        <w:t>-</w:t>
      </w:r>
      <w:r w:rsidR="003E631E" w:rsidRPr="000D06F2">
        <w:rPr>
          <w:rFonts w:asciiTheme="minorHAnsi" w:hAnsiTheme="minorHAnsi" w:cstheme="minorHAnsi"/>
          <w:szCs w:val="22"/>
        </w:rPr>
        <w:t>Post</w:t>
      </w:r>
      <w:r w:rsidR="002B430F">
        <w:rPr>
          <w:rFonts w:asciiTheme="minorHAnsi" w:hAnsiTheme="minorHAnsi" w:cstheme="minorHAnsi"/>
          <w:szCs w:val="22"/>
        </w:rPr>
        <w:t xml:space="preserve"> statement</w:t>
      </w:r>
      <w:r w:rsidR="003E631E" w:rsidRPr="000D06F2">
        <w:rPr>
          <w:rFonts w:asciiTheme="minorHAnsi" w:hAnsiTheme="minorHAnsi" w:cstheme="minorHAnsi"/>
          <w:szCs w:val="22"/>
        </w:rPr>
        <w:t xml:space="preserve"> will be generated from 1 Mar</w:t>
      </w:r>
      <w:r w:rsidR="008D0671">
        <w:rPr>
          <w:rFonts w:asciiTheme="minorHAnsi" w:hAnsiTheme="minorHAnsi" w:cstheme="minorHAnsi"/>
          <w:szCs w:val="22"/>
        </w:rPr>
        <w:t>ch</w:t>
      </w:r>
      <w:r w:rsidR="003E631E" w:rsidRPr="000D06F2">
        <w:rPr>
          <w:rFonts w:asciiTheme="minorHAnsi" w:hAnsiTheme="minorHAnsi" w:cstheme="minorHAnsi"/>
          <w:szCs w:val="22"/>
        </w:rPr>
        <w:t xml:space="preserve"> 2018 to 30 June 2018</w:t>
      </w:r>
    </w:p>
    <w:p w14:paraId="1570A25F" w14:textId="1E7B7DE6" w:rsidR="003E631E" w:rsidRPr="000D06F2" w:rsidRDefault="002B430F" w:rsidP="00894AA2">
      <w:pPr>
        <w:pStyle w:val="ListParagraph"/>
        <w:numPr>
          <w:ilvl w:val="0"/>
          <w:numId w:val="82"/>
        </w:numPr>
        <w:spacing w:line="276" w:lineRule="auto"/>
        <w:jc w:val="both"/>
        <w:rPr>
          <w:rFonts w:asciiTheme="minorHAnsi" w:hAnsiTheme="minorHAnsi" w:cstheme="minorHAnsi"/>
          <w:szCs w:val="22"/>
        </w:rPr>
      </w:pPr>
      <w:r w:rsidRPr="000D06F2">
        <w:rPr>
          <w:rFonts w:asciiTheme="minorHAnsi" w:hAnsiTheme="minorHAnsi" w:cstheme="minorHAnsi"/>
          <w:szCs w:val="22"/>
        </w:rPr>
        <w:t>Subsequent Ex</w:t>
      </w:r>
      <w:r>
        <w:rPr>
          <w:rFonts w:asciiTheme="minorHAnsi" w:hAnsiTheme="minorHAnsi" w:cstheme="minorHAnsi"/>
          <w:szCs w:val="22"/>
        </w:rPr>
        <w:t>-</w:t>
      </w:r>
      <w:r w:rsidR="003E631E" w:rsidRPr="000D06F2">
        <w:rPr>
          <w:rFonts w:asciiTheme="minorHAnsi" w:hAnsiTheme="minorHAnsi" w:cstheme="minorHAnsi"/>
          <w:szCs w:val="22"/>
        </w:rPr>
        <w:t>Post</w:t>
      </w:r>
      <w:r>
        <w:rPr>
          <w:rFonts w:asciiTheme="minorHAnsi" w:hAnsiTheme="minorHAnsi" w:cstheme="minorHAnsi"/>
          <w:szCs w:val="22"/>
        </w:rPr>
        <w:t xml:space="preserve"> statements</w:t>
      </w:r>
      <w:r w:rsidR="003E631E" w:rsidRPr="000D06F2">
        <w:rPr>
          <w:rFonts w:asciiTheme="minorHAnsi" w:hAnsiTheme="minorHAnsi" w:cstheme="minorHAnsi"/>
          <w:szCs w:val="22"/>
        </w:rPr>
        <w:t xml:space="preserve"> will be for 12 months from 1 July 2018 to 30 June 2019</w:t>
      </w:r>
      <w:r w:rsidR="008D0671">
        <w:rPr>
          <w:rFonts w:asciiTheme="minorHAnsi" w:hAnsiTheme="minorHAnsi" w:cstheme="minorHAnsi"/>
          <w:szCs w:val="22"/>
        </w:rPr>
        <w:t>.</w:t>
      </w:r>
      <w:r w:rsidR="003E631E" w:rsidRPr="000D06F2">
        <w:rPr>
          <w:rFonts w:asciiTheme="minorHAnsi" w:hAnsiTheme="minorHAnsi" w:cstheme="minorHAnsi"/>
          <w:szCs w:val="22"/>
        </w:rPr>
        <w:t xml:space="preserve"> </w:t>
      </w:r>
    </w:p>
    <w:p w14:paraId="379E9E26" w14:textId="77777777" w:rsidR="003146D9" w:rsidRDefault="003146D9" w:rsidP="00894AA2">
      <w:pPr>
        <w:spacing w:line="276" w:lineRule="auto"/>
        <w:jc w:val="both"/>
        <w:rPr>
          <w:rFonts w:asciiTheme="minorHAnsi" w:hAnsiTheme="minorHAnsi" w:cstheme="minorHAnsi"/>
          <w:szCs w:val="22"/>
        </w:rPr>
      </w:pPr>
    </w:p>
    <w:p w14:paraId="1D11C186" w14:textId="550DD9CD" w:rsidR="003E631E" w:rsidRPr="003E631E" w:rsidRDefault="003E631E" w:rsidP="00894AA2">
      <w:pPr>
        <w:spacing w:line="276" w:lineRule="auto"/>
        <w:jc w:val="both"/>
        <w:rPr>
          <w:rFonts w:asciiTheme="minorHAnsi" w:hAnsiTheme="minorHAnsi" w:cstheme="minorHAnsi"/>
          <w:szCs w:val="22"/>
        </w:rPr>
      </w:pPr>
      <w:r w:rsidRPr="003E631E">
        <w:rPr>
          <w:rFonts w:asciiTheme="minorHAnsi" w:hAnsiTheme="minorHAnsi" w:cstheme="minorHAnsi"/>
          <w:szCs w:val="22"/>
        </w:rPr>
        <w:t xml:space="preserve">Note: if the </w:t>
      </w:r>
      <w:r w:rsidR="002B430F">
        <w:rPr>
          <w:rFonts w:asciiTheme="minorHAnsi" w:hAnsiTheme="minorHAnsi" w:cstheme="minorHAnsi"/>
          <w:szCs w:val="22"/>
        </w:rPr>
        <w:t>first Ex-</w:t>
      </w:r>
      <w:r w:rsidRPr="003E631E">
        <w:rPr>
          <w:rFonts w:asciiTheme="minorHAnsi" w:hAnsiTheme="minorHAnsi" w:cstheme="minorHAnsi"/>
          <w:szCs w:val="22"/>
        </w:rPr>
        <w:t>Post calculation period is very insignificant say it covers less than 3 months,</w:t>
      </w:r>
      <w:r w:rsidR="002B430F">
        <w:rPr>
          <w:rFonts w:asciiTheme="minorHAnsi" w:hAnsiTheme="minorHAnsi" w:cstheme="minorHAnsi"/>
          <w:szCs w:val="22"/>
        </w:rPr>
        <w:t xml:space="preserve"> an</w:t>
      </w:r>
      <w:r w:rsidRPr="003E631E">
        <w:rPr>
          <w:rFonts w:asciiTheme="minorHAnsi" w:hAnsiTheme="minorHAnsi" w:cstheme="minorHAnsi"/>
          <w:szCs w:val="22"/>
        </w:rPr>
        <w:t xml:space="preserve"> alternative option is to generate a combined 1st Ex Post report for more than 12 months.</w:t>
      </w:r>
    </w:p>
    <w:p w14:paraId="429A2FE0" w14:textId="77777777" w:rsidR="003E631E" w:rsidRPr="003E631E" w:rsidRDefault="003E631E" w:rsidP="00894AA2">
      <w:pPr>
        <w:spacing w:line="276" w:lineRule="auto"/>
        <w:jc w:val="both"/>
        <w:rPr>
          <w:rFonts w:asciiTheme="minorHAnsi" w:hAnsiTheme="minorHAnsi" w:cstheme="minorHAnsi"/>
          <w:szCs w:val="22"/>
        </w:rPr>
      </w:pPr>
    </w:p>
    <w:p w14:paraId="302B6EA1" w14:textId="19D664ED" w:rsidR="003E631E" w:rsidRPr="00E4000D" w:rsidRDefault="003E631E" w:rsidP="00894AA2">
      <w:pPr>
        <w:spacing w:line="276" w:lineRule="auto"/>
        <w:jc w:val="both"/>
        <w:rPr>
          <w:rFonts w:asciiTheme="minorHAnsi" w:hAnsiTheme="minorHAnsi" w:cstheme="minorHAnsi"/>
          <w:b/>
          <w:szCs w:val="22"/>
        </w:rPr>
      </w:pPr>
      <w:r w:rsidRPr="00E4000D">
        <w:rPr>
          <w:rFonts w:asciiTheme="minorHAnsi" w:hAnsiTheme="minorHAnsi" w:cstheme="minorHAnsi"/>
          <w:b/>
          <w:szCs w:val="22"/>
        </w:rPr>
        <w:t>Ex</w:t>
      </w:r>
      <w:r w:rsidR="008D0671" w:rsidRPr="00E4000D">
        <w:rPr>
          <w:rFonts w:asciiTheme="minorHAnsi" w:hAnsiTheme="minorHAnsi" w:cstheme="minorHAnsi"/>
          <w:b/>
          <w:szCs w:val="22"/>
        </w:rPr>
        <w:t>-</w:t>
      </w:r>
      <w:r w:rsidRPr="00E4000D">
        <w:rPr>
          <w:rFonts w:asciiTheme="minorHAnsi" w:hAnsiTheme="minorHAnsi" w:cstheme="minorHAnsi"/>
          <w:b/>
          <w:szCs w:val="22"/>
        </w:rPr>
        <w:t>Post situation when a client leaves</w:t>
      </w:r>
      <w:r w:rsidR="008D0671" w:rsidRPr="00E4000D">
        <w:rPr>
          <w:rFonts w:asciiTheme="minorHAnsi" w:hAnsiTheme="minorHAnsi" w:cstheme="minorHAnsi"/>
          <w:b/>
          <w:szCs w:val="22"/>
        </w:rPr>
        <w:t>, when should the Ex-Post report be generated?</w:t>
      </w:r>
    </w:p>
    <w:p w14:paraId="0D3FF08E" w14:textId="77777777" w:rsidR="003E631E" w:rsidRPr="003E631E" w:rsidRDefault="003E631E" w:rsidP="00894AA2">
      <w:pPr>
        <w:spacing w:line="276" w:lineRule="auto"/>
        <w:jc w:val="both"/>
        <w:rPr>
          <w:rFonts w:asciiTheme="minorHAnsi" w:hAnsiTheme="minorHAnsi" w:cstheme="minorHAnsi"/>
          <w:szCs w:val="22"/>
        </w:rPr>
      </w:pPr>
    </w:p>
    <w:p w14:paraId="68FC37CC" w14:textId="0AD4244B" w:rsidR="003E631E" w:rsidRPr="00112B5D" w:rsidRDefault="003E631E" w:rsidP="00894AA2">
      <w:pPr>
        <w:pStyle w:val="ListParagraph"/>
        <w:numPr>
          <w:ilvl w:val="0"/>
          <w:numId w:val="54"/>
        </w:numPr>
        <w:spacing w:line="276" w:lineRule="auto"/>
        <w:ind w:hanging="731"/>
        <w:jc w:val="both"/>
        <w:rPr>
          <w:rFonts w:asciiTheme="minorHAnsi" w:hAnsiTheme="minorHAnsi" w:cstheme="minorHAnsi"/>
          <w:szCs w:val="22"/>
        </w:rPr>
      </w:pPr>
      <w:r w:rsidRPr="00112B5D">
        <w:rPr>
          <w:rFonts w:asciiTheme="minorHAnsi" w:hAnsiTheme="minorHAnsi" w:cstheme="minorHAnsi"/>
          <w:szCs w:val="22"/>
        </w:rPr>
        <w:t xml:space="preserve">Case 1: Client joins and leaves within 1 year </w:t>
      </w:r>
      <w:r w:rsidR="002B430F" w:rsidRPr="00112B5D">
        <w:rPr>
          <w:rFonts w:asciiTheme="minorHAnsi" w:hAnsiTheme="minorHAnsi" w:cstheme="minorHAnsi"/>
          <w:szCs w:val="22"/>
        </w:rPr>
        <w:t>i.e., the</w:t>
      </w:r>
      <w:r w:rsidRPr="00112B5D">
        <w:rPr>
          <w:rFonts w:asciiTheme="minorHAnsi" w:hAnsiTheme="minorHAnsi" w:cstheme="minorHAnsi"/>
          <w:szCs w:val="22"/>
        </w:rPr>
        <w:t xml:space="preserve"> total time</w:t>
      </w:r>
      <w:r w:rsidR="002B430F" w:rsidRPr="00112B5D">
        <w:rPr>
          <w:rFonts w:asciiTheme="minorHAnsi" w:hAnsiTheme="minorHAnsi" w:cstheme="minorHAnsi"/>
          <w:szCs w:val="22"/>
        </w:rPr>
        <w:t xml:space="preserve"> spent is less than 12 months - f</w:t>
      </w:r>
      <w:r w:rsidRPr="00112B5D">
        <w:rPr>
          <w:rFonts w:asciiTheme="minorHAnsi" w:hAnsiTheme="minorHAnsi" w:cstheme="minorHAnsi"/>
          <w:szCs w:val="22"/>
        </w:rPr>
        <w:t xml:space="preserve">or example </w:t>
      </w:r>
      <w:r w:rsidR="002B430F" w:rsidRPr="00112B5D">
        <w:rPr>
          <w:rFonts w:asciiTheme="minorHAnsi" w:hAnsiTheme="minorHAnsi" w:cstheme="minorHAnsi"/>
          <w:szCs w:val="22"/>
        </w:rPr>
        <w:t xml:space="preserve">the </w:t>
      </w:r>
      <w:r w:rsidRPr="00112B5D">
        <w:rPr>
          <w:rFonts w:asciiTheme="minorHAnsi" w:hAnsiTheme="minorHAnsi" w:cstheme="minorHAnsi"/>
          <w:szCs w:val="22"/>
        </w:rPr>
        <w:t>client joins on 1 April 2018 and leaves on 30 Sep</w:t>
      </w:r>
      <w:r w:rsidR="008D0671">
        <w:rPr>
          <w:rFonts w:asciiTheme="minorHAnsi" w:hAnsiTheme="minorHAnsi" w:cstheme="minorHAnsi"/>
          <w:szCs w:val="22"/>
        </w:rPr>
        <w:t>tember</w:t>
      </w:r>
      <w:r w:rsidRPr="00112B5D">
        <w:rPr>
          <w:rFonts w:asciiTheme="minorHAnsi" w:hAnsiTheme="minorHAnsi" w:cstheme="minorHAnsi"/>
          <w:szCs w:val="22"/>
        </w:rPr>
        <w:t xml:space="preserve"> 2018</w:t>
      </w:r>
      <w:r w:rsidR="008D0671">
        <w:rPr>
          <w:rFonts w:asciiTheme="minorHAnsi" w:hAnsiTheme="minorHAnsi" w:cstheme="minorHAnsi"/>
          <w:szCs w:val="22"/>
        </w:rPr>
        <w:t>:</w:t>
      </w:r>
    </w:p>
    <w:p w14:paraId="2EF58080" w14:textId="37A87BDB" w:rsidR="003E631E" w:rsidRPr="000D06F2" w:rsidRDefault="004156DB" w:rsidP="00894AA2">
      <w:pPr>
        <w:pStyle w:val="ListParagraph"/>
        <w:numPr>
          <w:ilvl w:val="0"/>
          <w:numId w:val="83"/>
        </w:numPr>
        <w:spacing w:line="276" w:lineRule="auto"/>
        <w:jc w:val="both"/>
        <w:rPr>
          <w:rFonts w:asciiTheme="minorHAnsi" w:hAnsiTheme="minorHAnsi" w:cstheme="minorHAnsi"/>
          <w:szCs w:val="22"/>
        </w:rPr>
      </w:pPr>
      <w:r>
        <w:rPr>
          <w:rFonts w:asciiTheme="minorHAnsi" w:hAnsiTheme="minorHAnsi" w:cstheme="minorHAnsi"/>
          <w:szCs w:val="22"/>
        </w:rPr>
        <w:t>T</w:t>
      </w:r>
      <w:r w:rsidR="002B430F">
        <w:rPr>
          <w:rFonts w:asciiTheme="minorHAnsi" w:hAnsiTheme="minorHAnsi" w:cstheme="minorHAnsi"/>
          <w:szCs w:val="22"/>
        </w:rPr>
        <w:t xml:space="preserve">he </w:t>
      </w:r>
      <w:r w:rsidR="002B430F" w:rsidRPr="000D06F2">
        <w:rPr>
          <w:rFonts w:asciiTheme="minorHAnsi" w:hAnsiTheme="minorHAnsi" w:cstheme="minorHAnsi"/>
          <w:szCs w:val="22"/>
        </w:rPr>
        <w:t>Ex</w:t>
      </w:r>
      <w:r w:rsidR="002B430F">
        <w:rPr>
          <w:rFonts w:asciiTheme="minorHAnsi" w:hAnsiTheme="minorHAnsi" w:cstheme="minorHAnsi"/>
          <w:szCs w:val="22"/>
        </w:rPr>
        <w:t>-</w:t>
      </w:r>
      <w:r w:rsidR="003E631E" w:rsidRPr="000D06F2">
        <w:rPr>
          <w:rFonts w:asciiTheme="minorHAnsi" w:hAnsiTheme="minorHAnsi" w:cstheme="minorHAnsi"/>
          <w:szCs w:val="22"/>
        </w:rPr>
        <w:t>Post</w:t>
      </w:r>
      <w:r w:rsidR="002B430F">
        <w:rPr>
          <w:rFonts w:asciiTheme="minorHAnsi" w:hAnsiTheme="minorHAnsi" w:cstheme="minorHAnsi"/>
          <w:szCs w:val="22"/>
        </w:rPr>
        <w:t xml:space="preserve"> statement</w:t>
      </w:r>
      <w:r w:rsidR="003E631E" w:rsidRPr="000D06F2">
        <w:rPr>
          <w:rFonts w:asciiTheme="minorHAnsi" w:hAnsiTheme="minorHAnsi" w:cstheme="minorHAnsi"/>
          <w:szCs w:val="22"/>
        </w:rPr>
        <w:t xml:space="preserve"> will be for the period 6 months from 1 April 2018 to 30 Sep 2018. </w:t>
      </w:r>
    </w:p>
    <w:p w14:paraId="539BD562" w14:textId="502D4141" w:rsidR="003E631E" w:rsidRPr="000D06F2" w:rsidRDefault="003E631E" w:rsidP="00894AA2">
      <w:pPr>
        <w:pStyle w:val="ListParagraph"/>
        <w:numPr>
          <w:ilvl w:val="0"/>
          <w:numId w:val="83"/>
        </w:numPr>
        <w:spacing w:line="276" w:lineRule="auto"/>
        <w:jc w:val="both"/>
        <w:rPr>
          <w:rFonts w:asciiTheme="minorHAnsi" w:hAnsiTheme="minorHAnsi" w:cstheme="minorHAnsi"/>
          <w:szCs w:val="22"/>
        </w:rPr>
      </w:pPr>
      <w:r w:rsidRPr="000D06F2">
        <w:rPr>
          <w:rFonts w:asciiTheme="minorHAnsi" w:hAnsiTheme="minorHAnsi" w:cstheme="minorHAnsi"/>
          <w:szCs w:val="22"/>
        </w:rPr>
        <w:lastRenderedPageBreak/>
        <w:t>TISA recommends generation</w:t>
      </w:r>
      <w:r w:rsidR="002B430F" w:rsidRPr="000D06F2">
        <w:rPr>
          <w:rFonts w:asciiTheme="minorHAnsi" w:hAnsiTheme="minorHAnsi" w:cstheme="minorHAnsi"/>
          <w:szCs w:val="22"/>
        </w:rPr>
        <w:t xml:space="preserve"> of Ex</w:t>
      </w:r>
      <w:r w:rsidR="002B430F">
        <w:rPr>
          <w:rFonts w:asciiTheme="minorHAnsi" w:hAnsiTheme="minorHAnsi" w:cstheme="minorHAnsi"/>
          <w:szCs w:val="22"/>
        </w:rPr>
        <w:t>-</w:t>
      </w:r>
      <w:r w:rsidRPr="000D06F2">
        <w:rPr>
          <w:rFonts w:asciiTheme="minorHAnsi" w:hAnsiTheme="minorHAnsi" w:cstheme="minorHAnsi"/>
          <w:szCs w:val="22"/>
        </w:rPr>
        <w:t>Post</w:t>
      </w:r>
      <w:r w:rsidR="002B430F">
        <w:rPr>
          <w:rFonts w:asciiTheme="minorHAnsi" w:hAnsiTheme="minorHAnsi" w:cstheme="minorHAnsi"/>
          <w:szCs w:val="22"/>
        </w:rPr>
        <w:t xml:space="preserve"> statements</w:t>
      </w:r>
      <w:r w:rsidRPr="000D06F2">
        <w:rPr>
          <w:rFonts w:asciiTheme="minorHAnsi" w:hAnsiTheme="minorHAnsi" w:cstheme="minorHAnsi"/>
          <w:szCs w:val="22"/>
        </w:rPr>
        <w:t xml:space="preserve"> for the above 6 months be done at the time when client leaves</w:t>
      </w:r>
      <w:r w:rsidR="00E31FDA">
        <w:rPr>
          <w:rFonts w:asciiTheme="minorHAnsi" w:hAnsiTheme="minorHAnsi" w:cstheme="minorHAnsi"/>
          <w:szCs w:val="22"/>
        </w:rPr>
        <w:t>, where this is practicable. We recognize that during 2018 this might not be possible to do when the client leaves</w:t>
      </w:r>
      <w:r w:rsidRPr="000D06F2">
        <w:rPr>
          <w:rFonts w:asciiTheme="minorHAnsi" w:hAnsiTheme="minorHAnsi" w:cstheme="minorHAnsi"/>
          <w:szCs w:val="22"/>
        </w:rPr>
        <w:t xml:space="preserve">. </w:t>
      </w:r>
      <w:r w:rsidR="00E31FDA">
        <w:rPr>
          <w:rFonts w:asciiTheme="minorHAnsi" w:hAnsiTheme="minorHAnsi" w:cstheme="minorHAnsi"/>
          <w:szCs w:val="22"/>
        </w:rPr>
        <w:t>In these circumstances, and as an alternative</w:t>
      </w:r>
      <w:r w:rsidRPr="000D06F2">
        <w:rPr>
          <w:rFonts w:asciiTheme="minorHAnsi" w:hAnsiTheme="minorHAnsi" w:cstheme="minorHAnsi"/>
          <w:szCs w:val="22"/>
        </w:rPr>
        <w:t xml:space="preserve"> firms ca</w:t>
      </w:r>
      <w:r w:rsidR="002B430F" w:rsidRPr="000D06F2">
        <w:rPr>
          <w:rFonts w:asciiTheme="minorHAnsi" w:hAnsiTheme="minorHAnsi" w:cstheme="minorHAnsi"/>
          <w:szCs w:val="22"/>
        </w:rPr>
        <w:t>n also chose to generate the Ex</w:t>
      </w:r>
      <w:r w:rsidR="002B430F">
        <w:rPr>
          <w:rFonts w:asciiTheme="minorHAnsi" w:hAnsiTheme="minorHAnsi" w:cstheme="minorHAnsi"/>
          <w:szCs w:val="22"/>
        </w:rPr>
        <w:t>-</w:t>
      </w:r>
      <w:r w:rsidRPr="000D06F2">
        <w:rPr>
          <w:rFonts w:asciiTheme="minorHAnsi" w:hAnsiTheme="minorHAnsi" w:cstheme="minorHAnsi"/>
          <w:szCs w:val="22"/>
        </w:rPr>
        <w:t>Post</w:t>
      </w:r>
      <w:r w:rsidR="002B430F">
        <w:rPr>
          <w:rFonts w:asciiTheme="minorHAnsi" w:hAnsiTheme="minorHAnsi" w:cstheme="minorHAnsi"/>
          <w:szCs w:val="22"/>
        </w:rPr>
        <w:t xml:space="preserve"> report</w:t>
      </w:r>
      <w:r w:rsidR="002B430F" w:rsidRPr="000D06F2">
        <w:rPr>
          <w:rFonts w:asciiTheme="minorHAnsi" w:hAnsiTheme="minorHAnsi" w:cstheme="minorHAnsi"/>
          <w:szCs w:val="22"/>
        </w:rPr>
        <w:t xml:space="preserve"> later along with the Ex</w:t>
      </w:r>
      <w:r w:rsidR="002B430F">
        <w:rPr>
          <w:rFonts w:asciiTheme="minorHAnsi" w:hAnsiTheme="minorHAnsi" w:cstheme="minorHAnsi"/>
          <w:szCs w:val="22"/>
        </w:rPr>
        <w:t>-</w:t>
      </w:r>
      <w:r w:rsidRPr="000D06F2">
        <w:rPr>
          <w:rFonts w:asciiTheme="minorHAnsi" w:hAnsiTheme="minorHAnsi" w:cstheme="minorHAnsi"/>
          <w:szCs w:val="22"/>
        </w:rPr>
        <w:t>Post generation for all its existing clients</w:t>
      </w:r>
      <w:r w:rsidR="00CD794B">
        <w:rPr>
          <w:rFonts w:asciiTheme="minorHAnsi" w:hAnsiTheme="minorHAnsi" w:cstheme="minorHAnsi"/>
          <w:szCs w:val="22"/>
        </w:rPr>
        <w:t>.</w:t>
      </w:r>
      <w:r w:rsidRPr="000D06F2">
        <w:rPr>
          <w:rFonts w:asciiTheme="minorHAnsi" w:hAnsiTheme="minorHAnsi" w:cstheme="minorHAnsi"/>
          <w:szCs w:val="22"/>
        </w:rPr>
        <w:t xml:space="preserve"> </w:t>
      </w:r>
    </w:p>
    <w:p w14:paraId="1C55EB7E" w14:textId="77777777" w:rsidR="003E631E" w:rsidRPr="003E631E" w:rsidRDefault="003E631E" w:rsidP="00894AA2">
      <w:pPr>
        <w:spacing w:line="276" w:lineRule="auto"/>
        <w:jc w:val="both"/>
        <w:rPr>
          <w:rFonts w:asciiTheme="minorHAnsi" w:hAnsiTheme="minorHAnsi" w:cstheme="minorHAnsi"/>
          <w:szCs w:val="22"/>
        </w:rPr>
      </w:pPr>
    </w:p>
    <w:p w14:paraId="273800EA" w14:textId="0781101D" w:rsidR="003E631E" w:rsidRPr="00112B5D" w:rsidRDefault="003E631E" w:rsidP="00894AA2">
      <w:pPr>
        <w:pStyle w:val="ListParagraph"/>
        <w:numPr>
          <w:ilvl w:val="0"/>
          <w:numId w:val="54"/>
        </w:numPr>
        <w:spacing w:line="276" w:lineRule="auto"/>
        <w:ind w:hanging="731"/>
        <w:jc w:val="both"/>
        <w:rPr>
          <w:rFonts w:asciiTheme="minorHAnsi" w:hAnsiTheme="minorHAnsi" w:cstheme="minorHAnsi"/>
          <w:szCs w:val="22"/>
        </w:rPr>
      </w:pPr>
      <w:r w:rsidRPr="00112B5D">
        <w:rPr>
          <w:rFonts w:asciiTheme="minorHAnsi" w:hAnsiTheme="minorHAnsi" w:cstheme="minorHAnsi"/>
          <w:szCs w:val="22"/>
        </w:rPr>
        <w:t>Case 2: Client leaves after receiving its last Annual Ex</w:t>
      </w:r>
      <w:r w:rsidR="002B430F" w:rsidRPr="00112B5D">
        <w:rPr>
          <w:rFonts w:asciiTheme="minorHAnsi" w:hAnsiTheme="minorHAnsi" w:cstheme="minorHAnsi"/>
          <w:szCs w:val="22"/>
        </w:rPr>
        <w:t>-P</w:t>
      </w:r>
      <w:r w:rsidRPr="00112B5D">
        <w:rPr>
          <w:rFonts w:asciiTheme="minorHAnsi" w:hAnsiTheme="minorHAnsi" w:cstheme="minorHAnsi"/>
          <w:szCs w:val="22"/>
        </w:rPr>
        <w:t>ost report. For example</w:t>
      </w:r>
      <w:r w:rsidR="002B430F" w:rsidRPr="00112B5D">
        <w:rPr>
          <w:rFonts w:asciiTheme="minorHAnsi" w:hAnsiTheme="minorHAnsi" w:cstheme="minorHAnsi"/>
          <w:szCs w:val="22"/>
        </w:rPr>
        <w:t xml:space="preserve"> the</w:t>
      </w:r>
      <w:r w:rsidRPr="00112B5D">
        <w:rPr>
          <w:rFonts w:asciiTheme="minorHAnsi" w:hAnsiTheme="minorHAnsi" w:cstheme="minorHAnsi"/>
          <w:szCs w:val="22"/>
        </w:rPr>
        <w:t xml:space="preserve"> cli</w:t>
      </w:r>
      <w:r w:rsidR="002B430F" w:rsidRPr="00112B5D">
        <w:rPr>
          <w:rFonts w:asciiTheme="minorHAnsi" w:hAnsiTheme="minorHAnsi" w:cstheme="minorHAnsi"/>
          <w:szCs w:val="22"/>
        </w:rPr>
        <w:t>ent receives the last Annual Ex-</w:t>
      </w:r>
      <w:r w:rsidRPr="00112B5D">
        <w:rPr>
          <w:rFonts w:asciiTheme="minorHAnsi" w:hAnsiTheme="minorHAnsi" w:cstheme="minorHAnsi"/>
          <w:szCs w:val="22"/>
        </w:rPr>
        <w:t>Post</w:t>
      </w:r>
      <w:r w:rsidR="002B430F" w:rsidRPr="00112B5D">
        <w:rPr>
          <w:rFonts w:asciiTheme="minorHAnsi" w:hAnsiTheme="minorHAnsi" w:cstheme="minorHAnsi"/>
          <w:szCs w:val="22"/>
        </w:rPr>
        <w:t xml:space="preserve"> statement</w:t>
      </w:r>
      <w:r w:rsidRPr="00112B5D">
        <w:rPr>
          <w:rFonts w:asciiTheme="minorHAnsi" w:hAnsiTheme="minorHAnsi" w:cstheme="minorHAnsi"/>
          <w:szCs w:val="22"/>
        </w:rPr>
        <w:t xml:space="preserve"> f</w:t>
      </w:r>
      <w:r w:rsidR="002B430F" w:rsidRPr="00112B5D">
        <w:rPr>
          <w:rFonts w:asciiTheme="minorHAnsi" w:hAnsiTheme="minorHAnsi" w:cstheme="minorHAnsi"/>
          <w:szCs w:val="22"/>
        </w:rPr>
        <w:t>or the 12 months ended Dec</w:t>
      </w:r>
      <w:r w:rsidR="008D0671">
        <w:rPr>
          <w:rFonts w:asciiTheme="minorHAnsi" w:hAnsiTheme="minorHAnsi" w:cstheme="minorHAnsi"/>
          <w:szCs w:val="22"/>
        </w:rPr>
        <w:t>ember</w:t>
      </w:r>
      <w:r w:rsidR="002B430F" w:rsidRPr="00112B5D">
        <w:rPr>
          <w:rFonts w:asciiTheme="minorHAnsi" w:hAnsiTheme="minorHAnsi" w:cstheme="minorHAnsi"/>
          <w:szCs w:val="22"/>
        </w:rPr>
        <w:t xml:space="preserve"> 2018 and the client then</w:t>
      </w:r>
      <w:r w:rsidRPr="00112B5D">
        <w:rPr>
          <w:rFonts w:asciiTheme="minorHAnsi" w:hAnsiTheme="minorHAnsi" w:cstheme="minorHAnsi"/>
          <w:szCs w:val="22"/>
        </w:rPr>
        <w:t xml:space="preserve"> leaves in April 2019.</w:t>
      </w:r>
    </w:p>
    <w:p w14:paraId="2A87D711" w14:textId="6A652CD6" w:rsidR="003E631E" w:rsidRPr="000D06F2" w:rsidRDefault="002B430F" w:rsidP="00894AA2">
      <w:pPr>
        <w:pStyle w:val="ListParagraph"/>
        <w:numPr>
          <w:ilvl w:val="0"/>
          <w:numId w:val="84"/>
        </w:numPr>
        <w:spacing w:line="276" w:lineRule="auto"/>
        <w:jc w:val="both"/>
        <w:rPr>
          <w:rFonts w:asciiTheme="minorHAnsi" w:hAnsiTheme="minorHAnsi" w:cstheme="minorHAnsi"/>
          <w:szCs w:val="22"/>
        </w:rPr>
      </w:pPr>
      <w:r>
        <w:rPr>
          <w:rFonts w:asciiTheme="minorHAnsi" w:hAnsiTheme="minorHAnsi" w:cstheme="minorHAnsi"/>
          <w:szCs w:val="22"/>
        </w:rPr>
        <w:t xml:space="preserve">The </w:t>
      </w:r>
      <w:r w:rsidRPr="000D06F2">
        <w:rPr>
          <w:rFonts w:asciiTheme="minorHAnsi" w:hAnsiTheme="minorHAnsi" w:cstheme="minorHAnsi"/>
          <w:szCs w:val="22"/>
        </w:rPr>
        <w:t>Ex</w:t>
      </w:r>
      <w:r>
        <w:rPr>
          <w:rFonts w:asciiTheme="minorHAnsi" w:hAnsiTheme="minorHAnsi" w:cstheme="minorHAnsi"/>
          <w:szCs w:val="22"/>
        </w:rPr>
        <w:t>-</w:t>
      </w:r>
      <w:r w:rsidR="003E631E" w:rsidRPr="000D06F2">
        <w:rPr>
          <w:rFonts w:asciiTheme="minorHAnsi" w:hAnsiTheme="minorHAnsi" w:cstheme="minorHAnsi"/>
          <w:szCs w:val="22"/>
        </w:rPr>
        <w:t xml:space="preserve">Post </w:t>
      </w:r>
      <w:r>
        <w:rPr>
          <w:rFonts w:asciiTheme="minorHAnsi" w:hAnsiTheme="minorHAnsi" w:cstheme="minorHAnsi"/>
          <w:szCs w:val="22"/>
        </w:rPr>
        <w:t xml:space="preserve">report </w:t>
      </w:r>
      <w:r w:rsidR="003E631E" w:rsidRPr="000D06F2">
        <w:rPr>
          <w:rFonts w:asciiTheme="minorHAnsi" w:hAnsiTheme="minorHAnsi" w:cstheme="minorHAnsi"/>
          <w:szCs w:val="22"/>
        </w:rPr>
        <w:t xml:space="preserve">will be for the period Jan 2019 to April 2019 </w:t>
      </w:r>
      <w:r w:rsidRPr="000D06F2">
        <w:rPr>
          <w:rFonts w:asciiTheme="minorHAnsi" w:hAnsiTheme="minorHAnsi" w:cstheme="minorHAnsi"/>
          <w:szCs w:val="22"/>
        </w:rPr>
        <w:t>i.e.</w:t>
      </w:r>
      <w:r w:rsidR="003E631E" w:rsidRPr="000D06F2">
        <w:rPr>
          <w:rFonts w:asciiTheme="minorHAnsi" w:hAnsiTheme="minorHAnsi" w:cstheme="minorHAnsi"/>
          <w:szCs w:val="22"/>
        </w:rPr>
        <w:t xml:space="preserve"> 4 months</w:t>
      </w:r>
    </w:p>
    <w:p w14:paraId="4696DE3C" w14:textId="732D4C0D" w:rsidR="003146D9" w:rsidRPr="000D06F2" w:rsidRDefault="003E631E" w:rsidP="00894AA2">
      <w:pPr>
        <w:pStyle w:val="ListParagraph"/>
        <w:numPr>
          <w:ilvl w:val="0"/>
          <w:numId w:val="84"/>
        </w:numPr>
        <w:jc w:val="both"/>
        <w:rPr>
          <w:rFonts w:asciiTheme="minorHAnsi" w:hAnsiTheme="minorHAnsi" w:cstheme="minorHAnsi"/>
          <w:szCs w:val="22"/>
        </w:rPr>
      </w:pPr>
      <w:r w:rsidRPr="000D06F2">
        <w:rPr>
          <w:rFonts w:asciiTheme="minorHAnsi" w:hAnsiTheme="minorHAnsi" w:cstheme="minorHAnsi"/>
          <w:szCs w:val="22"/>
        </w:rPr>
        <w:t xml:space="preserve">TISA recommends generation of </w:t>
      </w:r>
      <w:r w:rsidR="002B430F">
        <w:rPr>
          <w:rFonts w:asciiTheme="minorHAnsi" w:hAnsiTheme="minorHAnsi" w:cstheme="minorHAnsi"/>
          <w:szCs w:val="22"/>
        </w:rPr>
        <w:t xml:space="preserve">the </w:t>
      </w:r>
      <w:r w:rsidR="002B430F" w:rsidRPr="000D06F2">
        <w:rPr>
          <w:rFonts w:asciiTheme="minorHAnsi" w:hAnsiTheme="minorHAnsi" w:cstheme="minorHAnsi"/>
          <w:szCs w:val="22"/>
        </w:rPr>
        <w:t>Ex</w:t>
      </w:r>
      <w:r w:rsidR="002B430F">
        <w:rPr>
          <w:rFonts w:asciiTheme="minorHAnsi" w:hAnsiTheme="minorHAnsi" w:cstheme="minorHAnsi"/>
          <w:szCs w:val="22"/>
        </w:rPr>
        <w:t>-</w:t>
      </w:r>
      <w:r w:rsidRPr="000D06F2">
        <w:rPr>
          <w:rFonts w:asciiTheme="minorHAnsi" w:hAnsiTheme="minorHAnsi" w:cstheme="minorHAnsi"/>
          <w:szCs w:val="22"/>
        </w:rPr>
        <w:t>Post</w:t>
      </w:r>
      <w:r w:rsidR="002B430F">
        <w:rPr>
          <w:rFonts w:asciiTheme="minorHAnsi" w:hAnsiTheme="minorHAnsi" w:cstheme="minorHAnsi"/>
          <w:szCs w:val="22"/>
        </w:rPr>
        <w:t xml:space="preserve"> report</w:t>
      </w:r>
      <w:r w:rsidRPr="000D06F2">
        <w:rPr>
          <w:rFonts w:asciiTheme="minorHAnsi" w:hAnsiTheme="minorHAnsi" w:cstheme="minorHAnsi"/>
          <w:szCs w:val="22"/>
        </w:rPr>
        <w:t xml:space="preserve"> for the above 4 months be done at the time when client leaves</w:t>
      </w:r>
      <w:r w:rsidR="00E31FDA">
        <w:rPr>
          <w:rFonts w:asciiTheme="minorHAnsi" w:hAnsiTheme="minorHAnsi" w:cstheme="minorHAnsi"/>
          <w:szCs w:val="22"/>
        </w:rPr>
        <w:t>, where this is practicable. We recognize that during 2018 this might not be possible to do when the client leaves</w:t>
      </w:r>
      <w:r w:rsidR="00E31FDA" w:rsidRPr="000D06F2">
        <w:rPr>
          <w:rFonts w:asciiTheme="minorHAnsi" w:hAnsiTheme="minorHAnsi" w:cstheme="minorHAnsi"/>
          <w:szCs w:val="22"/>
        </w:rPr>
        <w:t xml:space="preserve">. </w:t>
      </w:r>
      <w:r w:rsidR="00E31FDA">
        <w:rPr>
          <w:rFonts w:asciiTheme="minorHAnsi" w:hAnsiTheme="minorHAnsi" w:cstheme="minorHAnsi"/>
          <w:szCs w:val="22"/>
        </w:rPr>
        <w:t>In these circumstances, and as an alternative</w:t>
      </w:r>
      <w:r w:rsidRPr="000D06F2">
        <w:rPr>
          <w:rFonts w:asciiTheme="minorHAnsi" w:hAnsiTheme="minorHAnsi" w:cstheme="minorHAnsi"/>
          <w:szCs w:val="22"/>
        </w:rPr>
        <w:t xml:space="preserve"> firms ca</w:t>
      </w:r>
      <w:r w:rsidR="002B430F" w:rsidRPr="000D06F2">
        <w:rPr>
          <w:rFonts w:asciiTheme="minorHAnsi" w:hAnsiTheme="minorHAnsi" w:cstheme="minorHAnsi"/>
          <w:szCs w:val="22"/>
        </w:rPr>
        <w:t>n also chose to generate the Ex</w:t>
      </w:r>
      <w:r w:rsidR="002B430F">
        <w:rPr>
          <w:rFonts w:asciiTheme="minorHAnsi" w:hAnsiTheme="minorHAnsi" w:cstheme="minorHAnsi"/>
          <w:szCs w:val="22"/>
        </w:rPr>
        <w:t>-</w:t>
      </w:r>
      <w:r w:rsidRPr="000D06F2">
        <w:rPr>
          <w:rFonts w:asciiTheme="minorHAnsi" w:hAnsiTheme="minorHAnsi" w:cstheme="minorHAnsi"/>
          <w:szCs w:val="22"/>
        </w:rPr>
        <w:t>Post</w:t>
      </w:r>
      <w:r w:rsidR="002B430F">
        <w:rPr>
          <w:rFonts w:asciiTheme="minorHAnsi" w:hAnsiTheme="minorHAnsi" w:cstheme="minorHAnsi"/>
          <w:szCs w:val="22"/>
        </w:rPr>
        <w:t xml:space="preserve"> report</w:t>
      </w:r>
      <w:r w:rsidR="002B430F" w:rsidRPr="000D06F2">
        <w:rPr>
          <w:rFonts w:asciiTheme="minorHAnsi" w:hAnsiTheme="minorHAnsi" w:cstheme="minorHAnsi"/>
          <w:szCs w:val="22"/>
        </w:rPr>
        <w:t xml:space="preserve"> later along with the Ex</w:t>
      </w:r>
      <w:r w:rsidR="002B430F">
        <w:rPr>
          <w:rFonts w:asciiTheme="minorHAnsi" w:hAnsiTheme="minorHAnsi" w:cstheme="minorHAnsi"/>
          <w:szCs w:val="22"/>
        </w:rPr>
        <w:t>-</w:t>
      </w:r>
      <w:r w:rsidRPr="000D06F2">
        <w:rPr>
          <w:rFonts w:asciiTheme="minorHAnsi" w:hAnsiTheme="minorHAnsi" w:cstheme="minorHAnsi"/>
          <w:szCs w:val="22"/>
        </w:rPr>
        <w:t>Post generati</w:t>
      </w:r>
      <w:r w:rsidR="002B430F" w:rsidRPr="000D06F2">
        <w:rPr>
          <w:rFonts w:asciiTheme="minorHAnsi" w:hAnsiTheme="minorHAnsi" w:cstheme="minorHAnsi"/>
          <w:szCs w:val="22"/>
        </w:rPr>
        <w:t>on for all its existing clients</w:t>
      </w:r>
      <w:r w:rsidR="002B430F">
        <w:rPr>
          <w:rFonts w:asciiTheme="minorHAnsi" w:hAnsiTheme="minorHAnsi" w:cstheme="minorHAnsi"/>
          <w:szCs w:val="22"/>
        </w:rPr>
        <w:t>.</w:t>
      </w:r>
      <w:r w:rsidRPr="000D06F2">
        <w:rPr>
          <w:rFonts w:asciiTheme="minorHAnsi" w:hAnsiTheme="minorHAnsi" w:cstheme="minorHAnsi"/>
          <w:szCs w:val="22"/>
        </w:rPr>
        <w:t xml:space="preserve"> </w:t>
      </w:r>
    </w:p>
    <w:p w14:paraId="4D7739C8" w14:textId="77777777" w:rsidR="003146D9" w:rsidRDefault="003146D9" w:rsidP="00894AA2">
      <w:pPr>
        <w:ind w:left="0"/>
        <w:jc w:val="both"/>
        <w:rPr>
          <w:rFonts w:asciiTheme="minorHAnsi" w:hAnsiTheme="minorHAnsi" w:cstheme="minorHAnsi"/>
          <w:szCs w:val="22"/>
        </w:rPr>
      </w:pPr>
    </w:p>
    <w:p w14:paraId="5EF28E9B" w14:textId="20FED040" w:rsidR="002907D4" w:rsidRPr="003146D9" w:rsidRDefault="00343C4F" w:rsidP="004E65EB">
      <w:pPr>
        <w:pStyle w:val="Heading3"/>
        <w:ind w:left="709"/>
        <w:jc w:val="both"/>
        <w:rPr>
          <w:rFonts w:asciiTheme="minorHAnsi" w:hAnsiTheme="minorHAnsi"/>
          <w:b w:val="0"/>
          <w:bCs w:val="0"/>
          <w:sz w:val="24"/>
          <w:szCs w:val="24"/>
        </w:rPr>
      </w:pPr>
      <w:bookmarkStart w:id="442" w:name="_Toc366502086"/>
      <w:bookmarkStart w:id="443" w:name="_Toc369907866"/>
      <w:bookmarkStart w:id="444" w:name="_Toc370052383"/>
      <w:bookmarkStart w:id="445" w:name="_Toc372234531"/>
      <w:bookmarkStart w:id="446" w:name="_Toc395871059"/>
      <w:bookmarkStart w:id="447" w:name="_Toc409468226"/>
      <w:r w:rsidRPr="003146D9">
        <w:rPr>
          <w:rFonts w:asciiTheme="minorHAnsi" w:hAnsiTheme="minorHAnsi"/>
          <w:color w:val="auto"/>
          <w:sz w:val="24"/>
          <w:szCs w:val="24"/>
        </w:rPr>
        <w:t xml:space="preserve">How </w:t>
      </w:r>
      <w:r w:rsidR="00C11060" w:rsidRPr="003146D9">
        <w:rPr>
          <w:rFonts w:asciiTheme="minorHAnsi" w:hAnsiTheme="minorHAnsi"/>
          <w:color w:val="auto"/>
          <w:sz w:val="24"/>
          <w:szCs w:val="24"/>
        </w:rPr>
        <w:t>should the Manufacturer</w:t>
      </w:r>
      <w:r w:rsidRPr="003146D9">
        <w:rPr>
          <w:rFonts w:asciiTheme="minorHAnsi" w:hAnsiTheme="minorHAnsi"/>
          <w:color w:val="auto"/>
          <w:sz w:val="24"/>
          <w:szCs w:val="24"/>
        </w:rPr>
        <w:t xml:space="preserve"> communicate one</w:t>
      </w:r>
      <w:r w:rsidR="00936C81" w:rsidRPr="003146D9">
        <w:rPr>
          <w:rFonts w:asciiTheme="minorHAnsi" w:hAnsiTheme="minorHAnsi"/>
          <w:color w:val="auto"/>
          <w:sz w:val="24"/>
          <w:szCs w:val="24"/>
        </w:rPr>
        <w:t>-</w:t>
      </w:r>
      <w:r w:rsidRPr="003146D9">
        <w:rPr>
          <w:rFonts w:asciiTheme="minorHAnsi" w:hAnsiTheme="minorHAnsi"/>
          <w:color w:val="auto"/>
          <w:sz w:val="24"/>
          <w:szCs w:val="24"/>
        </w:rPr>
        <w:t>off costs to distributors?</w:t>
      </w:r>
      <w:bookmarkEnd w:id="442"/>
      <w:bookmarkEnd w:id="443"/>
      <w:bookmarkEnd w:id="444"/>
      <w:bookmarkEnd w:id="445"/>
      <w:bookmarkEnd w:id="446"/>
      <w:bookmarkEnd w:id="447"/>
    </w:p>
    <w:p w14:paraId="5830BA9D" w14:textId="77777777" w:rsidR="00343C4F" w:rsidRDefault="00343C4F" w:rsidP="00894AA2">
      <w:pPr>
        <w:jc w:val="both"/>
        <w:rPr>
          <w:rFonts w:cstheme="minorHAnsi"/>
          <w:sz w:val="24"/>
        </w:rPr>
      </w:pPr>
    </w:p>
    <w:p w14:paraId="23976801" w14:textId="17063887" w:rsidR="00C11060" w:rsidRPr="00331B33" w:rsidRDefault="00C11060" w:rsidP="00894AA2">
      <w:pPr>
        <w:spacing w:line="276" w:lineRule="auto"/>
        <w:jc w:val="both"/>
        <w:rPr>
          <w:rFonts w:asciiTheme="minorHAnsi" w:hAnsiTheme="minorHAnsi" w:cstheme="minorHAnsi"/>
          <w:szCs w:val="22"/>
        </w:rPr>
      </w:pPr>
      <w:r w:rsidRPr="00331B33">
        <w:rPr>
          <w:rFonts w:asciiTheme="minorHAnsi" w:hAnsiTheme="minorHAnsi" w:cstheme="minorHAnsi"/>
          <w:szCs w:val="22"/>
        </w:rPr>
        <w:t xml:space="preserve">If the </w:t>
      </w:r>
      <w:r w:rsidR="00CD2461">
        <w:rPr>
          <w:rFonts w:asciiTheme="minorHAnsi" w:hAnsiTheme="minorHAnsi" w:cstheme="minorHAnsi"/>
          <w:szCs w:val="22"/>
        </w:rPr>
        <w:t>F</w:t>
      </w:r>
      <w:r w:rsidRPr="00331B33">
        <w:rPr>
          <w:rFonts w:asciiTheme="minorHAnsi" w:hAnsiTheme="minorHAnsi" w:cstheme="minorHAnsi"/>
          <w:szCs w:val="22"/>
        </w:rPr>
        <w:t xml:space="preserve">und </w:t>
      </w:r>
      <w:r w:rsidR="00CD2461">
        <w:rPr>
          <w:rFonts w:asciiTheme="minorHAnsi" w:hAnsiTheme="minorHAnsi" w:cstheme="minorHAnsi"/>
          <w:szCs w:val="22"/>
        </w:rPr>
        <w:t>M</w:t>
      </w:r>
      <w:r w:rsidRPr="00331B33">
        <w:rPr>
          <w:rFonts w:asciiTheme="minorHAnsi" w:hAnsiTheme="minorHAnsi" w:cstheme="minorHAnsi"/>
          <w:szCs w:val="22"/>
        </w:rPr>
        <w:t xml:space="preserve">anufacturer has the ability to charge a fee but does not charge it in practice, the </w:t>
      </w:r>
      <w:r w:rsidR="00CD794B">
        <w:rPr>
          <w:rFonts w:asciiTheme="minorHAnsi" w:hAnsiTheme="minorHAnsi" w:cstheme="minorHAnsi"/>
          <w:szCs w:val="22"/>
        </w:rPr>
        <w:t>F</w:t>
      </w:r>
      <w:r w:rsidRPr="00331B33">
        <w:rPr>
          <w:rFonts w:asciiTheme="minorHAnsi" w:hAnsiTheme="minorHAnsi" w:cstheme="minorHAnsi"/>
          <w:szCs w:val="22"/>
        </w:rPr>
        <w:t xml:space="preserve">und </w:t>
      </w:r>
      <w:r w:rsidR="00CD794B">
        <w:rPr>
          <w:rFonts w:asciiTheme="minorHAnsi" w:hAnsiTheme="minorHAnsi" w:cstheme="minorHAnsi"/>
          <w:szCs w:val="22"/>
        </w:rPr>
        <w:t>M</w:t>
      </w:r>
      <w:r w:rsidRPr="00331B33">
        <w:rPr>
          <w:rFonts w:asciiTheme="minorHAnsi" w:hAnsiTheme="minorHAnsi" w:cstheme="minorHAnsi"/>
          <w:szCs w:val="22"/>
        </w:rPr>
        <w:t xml:space="preserve">anufacturer will know the actual entry cost to disclose the costs incurred to the distributor. </w:t>
      </w:r>
    </w:p>
    <w:p w14:paraId="4FF7C5F6" w14:textId="77777777" w:rsidR="00C11060" w:rsidRPr="00331B33" w:rsidRDefault="00C11060" w:rsidP="00894AA2">
      <w:pPr>
        <w:spacing w:line="276" w:lineRule="auto"/>
        <w:jc w:val="both"/>
        <w:rPr>
          <w:rFonts w:asciiTheme="minorHAnsi" w:hAnsiTheme="minorHAnsi" w:cstheme="minorHAnsi"/>
          <w:szCs w:val="22"/>
        </w:rPr>
      </w:pPr>
    </w:p>
    <w:p w14:paraId="5B058F60" w14:textId="3F7223D9" w:rsidR="00343C4F" w:rsidRPr="00331B33" w:rsidRDefault="00C11060" w:rsidP="00894AA2">
      <w:pPr>
        <w:spacing w:line="276" w:lineRule="auto"/>
        <w:jc w:val="both"/>
        <w:rPr>
          <w:rFonts w:asciiTheme="minorHAnsi" w:hAnsiTheme="minorHAnsi" w:cstheme="minorHAnsi"/>
          <w:szCs w:val="22"/>
        </w:rPr>
      </w:pPr>
      <w:r w:rsidRPr="00331B33">
        <w:rPr>
          <w:rFonts w:asciiTheme="minorHAnsi" w:hAnsiTheme="minorHAnsi" w:cstheme="minorHAnsi"/>
          <w:szCs w:val="22"/>
        </w:rPr>
        <w:t xml:space="preserve">If one off costs of entering the fund are charged by the </w:t>
      </w:r>
      <w:r w:rsidR="00CD2461">
        <w:rPr>
          <w:rFonts w:asciiTheme="minorHAnsi" w:hAnsiTheme="minorHAnsi" w:cstheme="minorHAnsi"/>
          <w:szCs w:val="22"/>
        </w:rPr>
        <w:t>F</w:t>
      </w:r>
      <w:r w:rsidRPr="00331B33">
        <w:rPr>
          <w:rFonts w:asciiTheme="minorHAnsi" w:hAnsiTheme="minorHAnsi" w:cstheme="minorHAnsi"/>
          <w:szCs w:val="22"/>
        </w:rPr>
        <w:t xml:space="preserve">und </w:t>
      </w:r>
      <w:r w:rsidR="00CD2461">
        <w:rPr>
          <w:rFonts w:asciiTheme="minorHAnsi" w:hAnsiTheme="minorHAnsi" w:cstheme="minorHAnsi"/>
          <w:szCs w:val="22"/>
        </w:rPr>
        <w:t>M</w:t>
      </w:r>
      <w:r w:rsidRPr="00331B33">
        <w:rPr>
          <w:rFonts w:asciiTheme="minorHAnsi" w:hAnsiTheme="minorHAnsi" w:cstheme="minorHAnsi"/>
          <w:szCs w:val="22"/>
        </w:rPr>
        <w:t xml:space="preserve">anufacturer and the distributor rebates this to the investor, the actual one off cost will not be known to the </w:t>
      </w:r>
      <w:r w:rsidR="00CD2461">
        <w:rPr>
          <w:rFonts w:asciiTheme="minorHAnsi" w:hAnsiTheme="minorHAnsi" w:cstheme="minorHAnsi"/>
          <w:szCs w:val="22"/>
        </w:rPr>
        <w:t>F</w:t>
      </w:r>
      <w:r w:rsidRPr="00331B33">
        <w:rPr>
          <w:rFonts w:asciiTheme="minorHAnsi" w:hAnsiTheme="minorHAnsi" w:cstheme="minorHAnsi"/>
          <w:szCs w:val="22"/>
        </w:rPr>
        <w:t xml:space="preserve">und </w:t>
      </w:r>
      <w:r w:rsidR="00CD2461">
        <w:rPr>
          <w:rFonts w:asciiTheme="minorHAnsi" w:hAnsiTheme="minorHAnsi" w:cstheme="minorHAnsi"/>
          <w:szCs w:val="22"/>
        </w:rPr>
        <w:t>M</w:t>
      </w:r>
      <w:r w:rsidRPr="00331B33">
        <w:rPr>
          <w:rFonts w:asciiTheme="minorHAnsi" w:hAnsiTheme="minorHAnsi" w:cstheme="minorHAnsi"/>
          <w:szCs w:val="22"/>
        </w:rPr>
        <w:t>anufacturer so the full one off charge should be disclosed as the cost to the distributor.</w:t>
      </w:r>
    </w:p>
    <w:p w14:paraId="2B210591" w14:textId="77777777" w:rsidR="00CD78E9" w:rsidRDefault="00CD78E9" w:rsidP="00894AA2">
      <w:pPr>
        <w:jc w:val="both"/>
        <w:rPr>
          <w:rFonts w:cstheme="minorHAnsi"/>
          <w:sz w:val="24"/>
        </w:rPr>
      </w:pPr>
    </w:p>
    <w:p w14:paraId="1CB1CD2E" w14:textId="77777777" w:rsidR="001324D0" w:rsidRDefault="001324D0" w:rsidP="00894AA2">
      <w:pPr>
        <w:jc w:val="both"/>
        <w:rPr>
          <w:rFonts w:cstheme="minorHAnsi"/>
          <w:sz w:val="24"/>
        </w:rPr>
      </w:pPr>
    </w:p>
    <w:p w14:paraId="2CDF4CDD" w14:textId="6A87EA02" w:rsidR="00CD78E9" w:rsidRPr="0078005A" w:rsidRDefault="00CD78E9" w:rsidP="00894AA2">
      <w:pPr>
        <w:pStyle w:val="Heading2"/>
        <w:jc w:val="both"/>
      </w:pPr>
      <w:bookmarkStart w:id="448" w:name="_Toc364001899"/>
      <w:bookmarkStart w:id="449" w:name="_Toc364343155"/>
      <w:bookmarkStart w:id="450" w:name="_Toc364343341"/>
      <w:bookmarkStart w:id="451" w:name="_Toc364343700"/>
      <w:bookmarkStart w:id="452" w:name="_Toc364635765"/>
      <w:bookmarkStart w:id="453" w:name="_Toc364636156"/>
      <w:bookmarkStart w:id="454" w:name="_Toc364636592"/>
      <w:bookmarkStart w:id="455" w:name="_Toc366502087"/>
      <w:bookmarkStart w:id="456" w:name="_Toc369907867"/>
      <w:bookmarkStart w:id="457" w:name="_Toc370052384"/>
      <w:bookmarkStart w:id="458" w:name="_Toc372234532"/>
      <w:bookmarkStart w:id="459" w:name="_Toc395871060"/>
      <w:bookmarkStart w:id="460" w:name="_Toc409468227"/>
      <w:r w:rsidRPr="0078005A">
        <w:t>Ex</w:t>
      </w:r>
      <w:r w:rsidR="005A6B31">
        <w:t>-</w:t>
      </w:r>
      <w:r w:rsidRPr="0078005A">
        <w:t xml:space="preserve">Post </w:t>
      </w:r>
      <w:r>
        <w:t xml:space="preserve">Reporting </w:t>
      </w:r>
      <w:r w:rsidRPr="0078005A">
        <w:t>Disclosures</w:t>
      </w:r>
      <w:bookmarkEnd w:id="448"/>
      <w:r w:rsidR="002A4E0A">
        <w:t xml:space="preserve"> for </w:t>
      </w:r>
      <w:r w:rsidR="001324D0">
        <w:t>Distributors</w:t>
      </w:r>
      <w:bookmarkEnd w:id="449"/>
      <w:bookmarkEnd w:id="450"/>
      <w:bookmarkEnd w:id="451"/>
      <w:bookmarkEnd w:id="452"/>
      <w:bookmarkEnd w:id="453"/>
      <w:bookmarkEnd w:id="454"/>
      <w:bookmarkEnd w:id="455"/>
      <w:bookmarkEnd w:id="456"/>
      <w:bookmarkEnd w:id="457"/>
      <w:bookmarkEnd w:id="458"/>
      <w:bookmarkEnd w:id="459"/>
      <w:bookmarkEnd w:id="460"/>
    </w:p>
    <w:p w14:paraId="182B9F7D" w14:textId="77777777" w:rsidR="00CD78E9" w:rsidRPr="003348C6" w:rsidRDefault="00CD78E9" w:rsidP="004E65EB">
      <w:pPr>
        <w:pStyle w:val="Heading3"/>
        <w:ind w:left="709"/>
        <w:jc w:val="both"/>
        <w:rPr>
          <w:rFonts w:asciiTheme="minorHAnsi" w:hAnsiTheme="minorHAnsi"/>
          <w:color w:val="auto"/>
          <w:sz w:val="24"/>
          <w:szCs w:val="24"/>
        </w:rPr>
      </w:pPr>
      <w:bookmarkStart w:id="461" w:name="_Toc364001900"/>
      <w:bookmarkStart w:id="462" w:name="_Toc364343156"/>
      <w:bookmarkStart w:id="463" w:name="_Toc364343342"/>
      <w:bookmarkStart w:id="464" w:name="_Toc364343701"/>
      <w:bookmarkStart w:id="465" w:name="_Toc364635766"/>
      <w:bookmarkStart w:id="466" w:name="_Toc364636157"/>
      <w:bookmarkStart w:id="467" w:name="_Toc364636593"/>
      <w:bookmarkStart w:id="468" w:name="_Toc366502088"/>
      <w:bookmarkStart w:id="469" w:name="_Toc369907868"/>
      <w:bookmarkStart w:id="470" w:name="_Toc370052385"/>
      <w:bookmarkStart w:id="471" w:name="_Toc372234533"/>
      <w:bookmarkStart w:id="472" w:name="_Toc395871061"/>
      <w:bookmarkStart w:id="473" w:name="_Toc409468228"/>
      <w:r w:rsidRPr="003348C6">
        <w:rPr>
          <w:rFonts w:asciiTheme="minorHAnsi" w:hAnsiTheme="minorHAnsi"/>
          <w:color w:val="auto"/>
          <w:sz w:val="24"/>
          <w:szCs w:val="24"/>
        </w:rPr>
        <w:t>Content/Template</w:t>
      </w:r>
      <w:bookmarkEnd w:id="461"/>
      <w:bookmarkEnd w:id="462"/>
      <w:bookmarkEnd w:id="463"/>
      <w:bookmarkEnd w:id="464"/>
      <w:bookmarkEnd w:id="465"/>
      <w:bookmarkEnd w:id="466"/>
      <w:bookmarkEnd w:id="467"/>
      <w:bookmarkEnd w:id="468"/>
      <w:bookmarkEnd w:id="469"/>
      <w:bookmarkEnd w:id="470"/>
      <w:bookmarkEnd w:id="471"/>
      <w:bookmarkEnd w:id="472"/>
      <w:bookmarkEnd w:id="473"/>
    </w:p>
    <w:p w14:paraId="5C924477" w14:textId="77777777" w:rsidR="00CD78E9" w:rsidRDefault="00CD78E9" w:rsidP="00894AA2">
      <w:pPr>
        <w:jc w:val="both"/>
        <w:rPr>
          <w:rFonts w:cstheme="minorHAnsi"/>
          <w:sz w:val="24"/>
        </w:rPr>
      </w:pPr>
    </w:p>
    <w:p w14:paraId="47A7AF72" w14:textId="307E0E7A" w:rsidR="00936C81" w:rsidRPr="00936C81" w:rsidRDefault="00936C81" w:rsidP="00894AA2">
      <w:pPr>
        <w:spacing w:line="276" w:lineRule="auto"/>
        <w:jc w:val="both"/>
        <w:rPr>
          <w:rFonts w:asciiTheme="minorHAnsi" w:hAnsiTheme="minorHAnsi" w:cstheme="minorHAnsi"/>
          <w:szCs w:val="22"/>
        </w:rPr>
      </w:pPr>
      <w:r w:rsidRPr="00936C81">
        <w:rPr>
          <w:rFonts w:asciiTheme="minorHAnsi" w:hAnsiTheme="minorHAnsi" w:cstheme="minorHAnsi"/>
          <w:szCs w:val="22"/>
        </w:rPr>
        <w:t xml:space="preserve">It is a mandatory requirement to show the aggregated totals of Product, Service and any </w:t>
      </w:r>
      <w:r w:rsidR="00874A34">
        <w:rPr>
          <w:rFonts w:asciiTheme="minorHAnsi" w:hAnsiTheme="minorHAnsi" w:cstheme="minorHAnsi"/>
          <w:szCs w:val="22"/>
        </w:rPr>
        <w:t>third-</w:t>
      </w:r>
      <w:r w:rsidRPr="00936C81">
        <w:rPr>
          <w:rFonts w:asciiTheme="minorHAnsi" w:hAnsiTheme="minorHAnsi" w:cstheme="minorHAnsi"/>
          <w:szCs w:val="22"/>
        </w:rPr>
        <w:t>party payments received. These figures must be shown as a percentage and monetary</w:t>
      </w:r>
      <w:r w:rsidR="00874A34">
        <w:rPr>
          <w:rFonts w:asciiTheme="minorHAnsi" w:hAnsiTheme="minorHAnsi" w:cstheme="minorHAnsi"/>
          <w:szCs w:val="22"/>
        </w:rPr>
        <w:t xml:space="preserve"> amount. As mentioned in the Ex-</w:t>
      </w:r>
      <w:r w:rsidRPr="00936C81">
        <w:rPr>
          <w:rFonts w:asciiTheme="minorHAnsi" w:hAnsiTheme="minorHAnsi" w:cstheme="minorHAnsi"/>
          <w:szCs w:val="22"/>
        </w:rPr>
        <w:t xml:space="preserve">Ante chapter of this document, ESMAs </w:t>
      </w:r>
      <w:r>
        <w:rPr>
          <w:rFonts w:asciiTheme="minorHAnsi" w:hAnsiTheme="minorHAnsi" w:cstheme="minorHAnsi"/>
          <w:szCs w:val="22"/>
        </w:rPr>
        <w:t xml:space="preserve">Investor Protection </w:t>
      </w:r>
      <w:r w:rsidRPr="00936C81">
        <w:rPr>
          <w:rFonts w:asciiTheme="minorHAnsi" w:hAnsiTheme="minorHAnsi" w:cstheme="minorHAnsi"/>
          <w:szCs w:val="22"/>
        </w:rPr>
        <w:t xml:space="preserve">Q&amp;A Q.13 offers guidance on the aggregation of the charges summary. </w:t>
      </w:r>
      <w:r>
        <w:rPr>
          <w:rFonts w:asciiTheme="minorHAnsi" w:hAnsiTheme="minorHAnsi" w:cstheme="minorHAnsi"/>
          <w:szCs w:val="22"/>
        </w:rPr>
        <w:t xml:space="preserve"> </w:t>
      </w:r>
      <w:r w:rsidRPr="00936C81">
        <w:rPr>
          <w:rFonts w:asciiTheme="minorHAnsi" w:hAnsiTheme="minorHAnsi" w:cstheme="minorHAnsi"/>
          <w:szCs w:val="22"/>
        </w:rPr>
        <w:t>Firms should at least provide clients with the</w:t>
      </w:r>
      <w:r w:rsidR="00874A34">
        <w:rPr>
          <w:rFonts w:asciiTheme="minorHAnsi" w:hAnsiTheme="minorHAnsi" w:cstheme="minorHAnsi"/>
          <w:szCs w:val="22"/>
        </w:rPr>
        <w:t xml:space="preserve"> following level of information:</w:t>
      </w:r>
    </w:p>
    <w:p w14:paraId="070291FE" w14:textId="77777777" w:rsidR="00936C81" w:rsidRPr="00936C81" w:rsidRDefault="00936C81" w:rsidP="00894AA2">
      <w:pPr>
        <w:spacing w:line="276" w:lineRule="auto"/>
        <w:jc w:val="both"/>
        <w:rPr>
          <w:rFonts w:asciiTheme="minorHAnsi" w:hAnsiTheme="minorHAnsi" w:cstheme="minorHAnsi"/>
          <w:szCs w:val="22"/>
        </w:rPr>
      </w:pPr>
      <w:r w:rsidRPr="00936C81">
        <w:rPr>
          <w:rFonts w:asciiTheme="minorHAnsi" w:hAnsiTheme="minorHAnsi" w:cstheme="minorHAnsi"/>
          <w:szCs w:val="22"/>
        </w:rPr>
        <w:t xml:space="preserve"> </w:t>
      </w:r>
    </w:p>
    <w:p w14:paraId="08A76E21" w14:textId="77777777" w:rsidR="00936C81" w:rsidRPr="00936C81" w:rsidRDefault="00936C81" w:rsidP="00894AA2">
      <w:pPr>
        <w:spacing w:line="276" w:lineRule="auto"/>
        <w:jc w:val="both"/>
        <w:rPr>
          <w:rFonts w:asciiTheme="minorHAnsi" w:hAnsiTheme="minorHAnsi" w:cstheme="minorHAnsi"/>
          <w:szCs w:val="22"/>
        </w:rPr>
      </w:pPr>
      <w:r w:rsidRPr="00936C81">
        <w:rPr>
          <w:rFonts w:asciiTheme="minorHAnsi" w:hAnsiTheme="minorHAnsi" w:cstheme="minorHAnsi"/>
          <w:szCs w:val="22"/>
        </w:rPr>
        <w:t>•</w:t>
      </w:r>
      <w:r w:rsidRPr="00936C81">
        <w:rPr>
          <w:rFonts w:asciiTheme="minorHAnsi" w:hAnsiTheme="minorHAnsi" w:cstheme="minorHAnsi"/>
          <w:szCs w:val="22"/>
        </w:rPr>
        <w:tab/>
        <w:t>Investment services and/or ancillary services</w:t>
      </w:r>
    </w:p>
    <w:p w14:paraId="1A38ABF3" w14:textId="77777777" w:rsidR="00936C81" w:rsidRPr="00936C81" w:rsidRDefault="00936C81" w:rsidP="00894AA2">
      <w:pPr>
        <w:spacing w:line="276" w:lineRule="auto"/>
        <w:jc w:val="both"/>
        <w:rPr>
          <w:rFonts w:asciiTheme="minorHAnsi" w:hAnsiTheme="minorHAnsi" w:cstheme="minorHAnsi"/>
          <w:szCs w:val="22"/>
        </w:rPr>
      </w:pPr>
      <w:r w:rsidRPr="00936C81">
        <w:rPr>
          <w:rFonts w:asciiTheme="minorHAnsi" w:hAnsiTheme="minorHAnsi" w:cstheme="minorHAnsi"/>
          <w:szCs w:val="22"/>
        </w:rPr>
        <w:t>•</w:t>
      </w:r>
      <w:r w:rsidRPr="00936C81">
        <w:rPr>
          <w:rFonts w:asciiTheme="minorHAnsi" w:hAnsiTheme="minorHAnsi" w:cstheme="minorHAnsi"/>
          <w:szCs w:val="22"/>
        </w:rPr>
        <w:tab/>
        <w:t>Third party payments received by the investment firm</w:t>
      </w:r>
    </w:p>
    <w:p w14:paraId="0427ECCA" w14:textId="0B295974" w:rsidR="00936C81" w:rsidRDefault="00936C81" w:rsidP="00894AA2">
      <w:pPr>
        <w:spacing w:line="276" w:lineRule="auto"/>
        <w:jc w:val="both"/>
        <w:rPr>
          <w:rFonts w:asciiTheme="minorHAnsi" w:hAnsiTheme="minorHAnsi" w:cstheme="minorHAnsi"/>
          <w:szCs w:val="22"/>
        </w:rPr>
      </w:pPr>
      <w:r w:rsidRPr="00936C81">
        <w:rPr>
          <w:rFonts w:asciiTheme="minorHAnsi" w:hAnsiTheme="minorHAnsi" w:cstheme="minorHAnsi"/>
          <w:szCs w:val="22"/>
        </w:rPr>
        <w:t>•</w:t>
      </w:r>
      <w:r w:rsidRPr="00936C81">
        <w:rPr>
          <w:rFonts w:asciiTheme="minorHAnsi" w:hAnsiTheme="minorHAnsi" w:cstheme="minorHAnsi"/>
          <w:szCs w:val="22"/>
        </w:rPr>
        <w:tab/>
        <w:t>Financial instruments</w:t>
      </w:r>
    </w:p>
    <w:p w14:paraId="2BBB31F0" w14:textId="77777777" w:rsidR="00936C81" w:rsidRDefault="00936C81" w:rsidP="00894AA2">
      <w:pPr>
        <w:spacing w:line="276" w:lineRule="auto"/>
        <w:jc w:val="both"/>
        <w:rPr>
          <w:rFonts w:asciiTheme="minorHAnsi" w:hAnsiTheme="minorHAnsi" w:cstheme="minorHAnsi"/>
          <w:szCs w:val="22"/>
        </w:rPr>
      </w:pPr>
    </w:p>
    <w:p w14:paraId="6115F4F5" w14:textId="4092DAB3" w:rsidR="00874A34" w:rsidRDefault="00874A34" w:rsidP="00894AA2">
      <w:pPr>
        <w:spacing w:line="276" w:lineRule="auto"/>
        <w:jc w:val="both"/>
        <w:rPr>
          <w:rFonts w:asciiTheme="minorHAnsi" w:hAnsiTheme="minorHAnsi" w:cstheme="minorHAnsi"/>
          <w:szCs w:val="22"/>
        </w:rPr>
      </w:pPr>
      <w:r>
        <w:rPr>
          <w:rFonts w:asciiTheme="minorHAnsi" w:hAnsiTheme="minorHAnsi" w:cstheme="minorHAnsi"/>
          <w:szCs w:val="22"/>
        </w:rPr>
        <w:t xml:space="preserve">Please see Sections </w:t>
      </w:r>
      <w:r w:rsidRPr="00EC5EBD">
        <w:rPr>
          <w:rFonts w:asciiTheme="minorHAnsi" w:hAnsiTheme="minorHAnsi" w:cstheme="minorHAnsi"/>
          <w:szCs w:val="22"/>
        </w:rPr>
        <w:t>3.2.</w:t>
      </w:r>
      <w:r w:rsidR="000D06F2" w:rsidRPr="00EC5EBD">
        <w:rPr>
          <w:rFonts w:asciiTheme="minorHAnsi" w:hAnsiTheme="minorHAnsi" w:cstheme="minorHAnsi"/>
          <w:szCs w:val="22"/>
        </w:rPr>
        <w:t>2</w:t>
      </w:r>
      <w:r w:rsidRPr="00EC5EBD">
        <w:rPr>
          <w:rFonts w:asciiTheme="minorHAnsi" w:hAnsiTheme="minorHAnsi" w:cstheme="minorHAnsi"/>
          <w:szCs w:val="22"/>
        </w:rPr>
        <w:t>, 3.2.</w:t>
      </w:r>
      <w:r w:rsidR="000D06F2" w:rsidRPr="00EC5EBD">
        <w:rPr>
          <w:rFonts w:asciiTheme="minorHAnsi" w:hAnsiTheme="minorHAnsi" w:cstheme="minorHAnsi"/>
          <w:szCs w:val="22"/>
        </w:rPr>
        <w:t>3</w:t>
      </w:r>
      <w:r w:rsidRPr="00EC5EBD">
        <w:rPr>
          <w:rFonts w:asciiTheme="minorHAnsi" w:hAnsiTheme="minorHAnsi" w:cstheme="minorHAnsi"/>
          <w:szCs w:val="22"/>
        </w:rPr>
        <w:t xml:space="preserve"> and 3.2.</w:t>
      </w:r>
      <w:r w:rsidR="000D06F2" w:rsidRPr="00EC5EBD">
        <w:rPr>
          <w:rFonts w:asciiTheme="minorHAnsi" w:hAnsiTheme="minorHAnsi" w:cstheme="minorHAnsi"/>
          <w:szCs w:val="22"/>
        </w:rPr>
        <w:t>4</w:t>
      </w:r>
      <w:r>
        <w:rPr>
          <w:rFonts w:asciiTheme="minorHAnsi" w:hAnsiTheme="minorHAnsi" w:cstheme="minorHAnsi"/>
          <w:szCs w:val="22"/>
        </w:rPr>
        <w:t xml:space="preserve"> </w:t>
      </w:r>
      <w:r w:rsidRPr="00874A34">
        <w:rPr>
          <w:rFonts w:asciiTheme="minorHAnsi" w:hAnsiTheme="minorHAnsi" w:cstheme="minorHAnsi"/>
          <w:szCs w:val="22"/>
        </w:rPr>
        <w:t>for details of these pre-defined categories</w:t>
      </w:r>
      <w:r>
        <w:rPr>
          <w:rFonts w:asciiTheme="minorHAnsi" w:hAnsiTheme="minorHAnsi" w:cstheme="minorHAnsi"/>
          <w:szCs w:val="22"/>
        </w:rPr>
        <w:t xml:space="preserve"> of information that must be provided.</w:t>
      </w:r>
    </w:p>
    <w:p w14:paraId="2B621FC5" w14:textId="77777777" w:rsidR="00874A34" w:rsidRDefault="00874A34" w:rsidP="00894AA2">
      <w:pPr>
        <w:spacing w:line="276" w:lineRule="auto"/>
        <w:jc w:val="both"/>
        <w:rPr>
          <w:rFonts w:asciiTheme="minorHAnsi" w:hAnsiTheme="minorHAnsi" w:cstheme="minorHAnsi"/>
          <w:szCs w:val="22"/>
        </w:rPr>
      </w:pPr>
    </w:p>
    <w:p w14:paraId="72598310" w14:textId="7CF7C8E7" w:rsidR="00CD78E9" w:rsidRPr="00331B33" w:rsidRDefault="0034452F" w:rsidP="00894AA2">
      <w:pPr>
        <w:spacing w:line="276" w:lineRule="auto"/>
        <w:jc w:val="both"/>
        <w:rPr>
          <w:rFonts w:asciiTheme="minorHAnsi" w:hAnsiTheme="minorHAnsi" w:cstheme="minorHAnsi"/>
          <w:szCs w:val="22"/>
        </w:rPr>
      </w:pPr>
      <w:r>
        <w:rPr>
          <w:rFonts w:asciiTheme="minorHAnsi" w:hAnsiTheme="minorHAnsi" w:cstheme="minorHAnsi"/>
          <w:szCs w:val="22"/>
        </w:rPr>
        <w:lastRenderedPageBreak/>
        <w:t>As b</w:t>
      </w:r>
      <w:r w:rsidRPr="00331B33">
        <w:rPr>
          <w:rFonts w:asciiTheme="minorHAnsi" w:hAnsiTheme="minorHAnsi" w:cstheme="minorHAnsi"/>
          <w:szCs w:val="22"/>
        </w:rPr>
        <w:t xml:space="preserve">oth </w:t>
      </w:r>
      <w:r w:rsidR="00CD78E9" w:rsidRPr="00331B33">
        <w:rPr>
          <w:rFonts w:asciiTheme="minorHAnsi" w:hAnsiTheme="minorHAnsi" w:cstheme="minorHAnsi"/>
          <w:szCs w:val="22"/>
        </w:rPr>
        <w:t>ESMA and the</w:t>
      </w:r>
      <w:r w:rsidR="00874A34">
        <w:rPr>
          <w:rFonts w:asciiTheme="minorHAnsi" w:hAnsiTheme="minorHAnsi" w:cstheme="minorHAnsi"/>
          <w:szCs w:val="22"/>
        </w:rPr>
        <w:t xml:space="preserve"> </w:t>
      </w:r>
      <w:r w:rsidR="00CD78E9" w:rsidRPr="00331B33">
        <w:rPr>
          <w:rFonts w:asciiTheme="minorHAnsi" w:hAnsiTheme="minorHAnsi" w:cstheme="minorHAnsi"/>
          <w:szCs w:val="22"/>
        </w:rPr>
        <w:t>FCA have indicated</w:t>
      </w:r>
      <w:r>
        <w:rPr>
          <w:rStyle w:val="FootnoteReference"/>
          <w:rFonts w:asciiTheme="minorHAnsi" w:hAnsiTheme="minorHAnsi" w:cstheme="minorHAnsi"/>
          <w:szCs w:val="22"/>
        </w:rPr>
        <w:footnoteReference w:id="25"/>
      </w:r>
      <w:r w:rsidR="00CD78E9" w:rsidRPr="00331B33">
        <w:rPr>
          <w:rFonts w:asciiTheme="minorHAnsi" w:hAnsiTheme="minorHAnsi" w:cstheme="minorHAnsi"/>
          <w:szCs w:val="22"/>
        </w:rPr>
        <w:t xml:space="preserve"> that they do not intend to suggest a prescriptive format (</w:t>
      </w:r>
      <w:r w:rsidR="00107703" w:rsidRPr="00331B33">
        <w:rPr>
          <w:rFonts w:asciiTheme="minorHAnsi" w:hAnsiTheme="minorHAnsi" w:cstheme="minorHAnsi"/>
          <w:szCs w:val="22"/>
        </w:rPr>
        <w:t>i.e.</w:t>
      </w:r>
      <w:r w:rsidR="00CD78E9" w:rsidRPr="00331B33">
        <w:rPr>
          <w:rFonts w:asciiTheme="minorHAnsi" w:hAnsiTheme="minorHAnsi" w:cstheme="minorHAnsi"/>
          <w:szCs w:val="22"/>
        </w:rPr>
        <w:t xml:space="preserve"> format, colour, font size </w:t>
      </w:r>
      <w:r w:rsidR="00107703" w:rsidRPr="00331B33">
        <w:rPr>
          <w:rFonts w:asciiTheme="minorHAnsi" w:hAnsiTheme="minorHAnsi" w:cstheme="minorHAnsi"/>
          <w:szCs w:val="22"/>
        </w:rPr>
        <w:t>etc.</w:t>
      </w:r>
      <w:r w:rsidR="00CD78E9" w:rsidRPr="00331B33">
        <w:rPr>
          <w:rFonts w:asciiTheme="minorHAnsi" w:hAnsiTheme="minorHAnsi" w:cstheme="minorHAnsi"/>
          <w:szCs w:val="22"/>
        </w:rPr>
        <w:t xml:space="preserve">) for the disclosure </w:t>
      </w:r>
      <w:r w:rsidR="00107703" w:rsidRPr="00331B33">
        <w:rPr>
          <w:rFonts w:asciiTheme="minorHAnsi" w:hAnsiTheme="minorHAnsi" w:cstheme="minorHAnsi"/>
          <w:szCs w:val="22"/>
        </w:rPr>
        <w:t>medium, TISA</w:t>
      </w:r>
      <w:r w:rsidR="00CD78E9" w:rsidRPr="00331B33">
        <w:rPr>
          <w:rFonts w:asciiTheme="minorHAnsi" w:hAnsiTheme="minorHAnsi" w:cstheme="minorHAnsi"/>
          <w:szCs w:val="22"/>
        </w:rPr>
        <w:t xml:space="preserve"> </w:t>
      </w:r>
      <w:r w:rsidR="00874A34">
        <w:rPr>
          <w:rFonts w:asciiTheme="minorHAnsi" w:hAnsiTheme="minorHAnsi" w:cstheme="minorHAnsi"/>
          <w:szCs w:val="22"/>
        </w:rPr>
        <w:t xml:space="preserve">has </w:t>
      </w:r>
      <w:r w:rsidR="00CD78E9" w:rsidRPr="00331B33">
        <w:rPr>
          <w:rFonts w:asciiTheme="minorHAnsi" w:hAnsiTheme="minorHAnsi" w:cstheme="minorHAnsi"/>
          <w:szCs w:val="22"/>
        </w:rPr>
        <w:t xml:space="preserve">developed a strawman template and guidance </w:t>
      </w:r>
      <w:r w:rsidR="00EC4C60">
        <w:rPr>
          <w:rFonts w:asciiTheme="minorHAnsi" w:hAnsiTheme="minorHAnsi" w:cstheme="minorHAnsi"/>
          <w:szCs w:val="22"/>
        </w:rPr>
        <w:t>for</w:t>
      </w:r>
      <w:r w:rsidR="00EC4C60" w:rsidRPr="00331B33">
        <w:rPr>
          <w:rFonts w:asciiTheme="minorHAnsi" w:hAnsiTheme="minorHAnsi" w:cstheme="minorHAnsi"/>
          <w:szCs w:val="22"/>
        </w:rPr>
        <w:t xml:space="preserve"> </w:t>
      </w:r>
      <w:r w:rsidR="00EC4C60">
        <w:rPr>
          <w:rFonts w:asciiTheme="minorHAnsi" w:hAnsiTheme="minorHAnsi" w:cstheme="minorHAnsi"/>
          <w:szCs w:val="22"/>
        </w:rPr>
        <w:t>Fund Manufacturers and relevant MiFID service providers.</w:t>
      </w:r>
    </w:p>
    <w:p w14:paraId="6F05E3FC" w14:textId="77777777" w:rsidR="00CD78E9" w:rsidRPr="00331B33" w:rsidRDefault="00CD78E9" w:rsidP="00894AA2">
      <w:pPr>
        <w:spacing w:line="276" w:lineRule="auto"/>
        <w:jc w:val="both"/>
        <w:rPr>
          <w:rFonts w:asciiTheme="minorHAnsi" w:hAnsiTheme="minorHAnsi" w:cstheme="minorHAnsi"/>
          <w:szCs w:val="22"/>
        </w:rPr>
      </w:pPr>
    </w:p>
    <w:p w14:paraId="50083F65" w14:textId="04FF788D" w:rsidR="00CD78E9" w:rsidRPr="00331B33" w:rsidRDefault="00CD78E9" w:rsidP="00894AA2">
      <w:pPr>
        <w:spacing w:line="276" w:lineRule="auto"/>
        <w:jc w:val="both"/>
        <w:rPr>
          <w:rFonts w:asciiTheme="minorHAnsi" w:hAnsiTheme="minorHAnsi" w:cstheme="minorHAnsi"/>
          <w:szCs w:val="22"/>
        </w:rPr>
      </w:pPr>
      <w:r w:rsidRPr="00331B33">
        <w:rPr>
          <w:rFonts w:asciiTheme="minorHAnsi" w:hAnsiTheme="minorHAnsi" w:cstheme="minorHAnsi"/>
          <w:szCs w:val="22"/>
        </w:rPr>
        <w:t>Th</w:t>
      </w:r>
      <w:r w:rsidR="00936C81">
        <w:rPr>
          <w:rFonts w:asciiTheme="minorHAnsi" w:hAnsiTheme="minorHAnsi" w:cstheme="minorHAnsi"/>
          <w:szCs w:val="22"/>
        </w:rPr>
        <w:t>is</w:t>
      </w:r>
      <w:r w:rsidRPr="00331B33">
        <w:rPr>
          <w:rFonts w:asciiTheme="minorHAnsi" w:hAnsiTheme="minorHAnsi" w:cstheme="minorHAnsi"/>
          <w:szCs w:val="22"/>
        </w:rPr>
        <w:t xml:space="preserve"> template can be rendered on web pages, emailed, hyperlinked as .pdf documents, and/or provided in hard copy format to clients.  </w:t>
      </w:r>
    </w:p>
    <w:p w14:paraId="6774E17A" w14:textId="77777777" w:rsidR="00CD78E9" w:rsidRPr="00331B33" w:rsidRDefault="00CD78E9" w:rsidP="00894AA2">
      <w:pPr>
        <w:spacing w:line="276" w:lineRule="auto"/>
        <w:jc w:val="both"/>
        <w:rPr>
          <w:rFonts w:asciiTheme="minorHAnsi" w:hAnsiTheme="minorHAnsi" w:cstheme="minorHAnsi"/>
          <w:szCs w:val="22"/>
        </w:rPr>
      </w:pPr>
    </w:p>
    <w:p w14:paraId="4011AFAE" w14:textId="4D4F187A" w:rsidR="00890B99" w:rsidRDefault="00CD78E9" w:rsidP="00894AA2">
      <w:pPr>
        <w:spacing w:line="276" w:lineRule="auto"/>
        <w:jc w:val="both"/>
        <w:rPr>
          <w:rFonts w:asciiTheme="minorHAnsi" w:hAnsiTheme="minorHAnsi" w:cstheme="minorHAnsi"/>
          <w:szCs w:val="22"/>
        </w:rPr>
      </w:pPr>
      <w:r w:rsidRPr="00331B33">
        <w:rPr>
          <w:rFonts w:asciiTheme="minorHAnsi" w:hAnsiTheme="minorHAnsi" w:cstheme="minorHAnsi"/>
          <w:szCs w:val="22"/>
        </w:rPr>
        <w:t xml:space="preserve">Distributors will use the Fund Manufacturers product </w:t>
      </w:r>
      <w:r w:rsidR="002907D4" w:rsidRPr="00331B33">
        <w:rPr>
          <w:rFonts w:asciiTheme="minorHAnsi" w:hAnsiTheme="minorHAnsi" w:cstheme="minorHAnsi"/>
          <w:szCs w:val="22"/>
        </w:rPr>
        <w:t xml:space="preserve">costs from the </w:t>
      </w:r>
      <w:r w:rsidRPr="00331B33">
        <w:rPr>
          <w:rFonts w:asciiTheme="minorHAnsi" w:hAnsiTheme="minorHAnsi" w:cstheme="minorHAnsi"/>
          <w:szCs w:val="22"/>
        </w:rPr>
        <w:t xml:space="preserve">EMT together with the information received from the </w:t>
      </w:r>
      <w:r w:rsidR="00EC4C60">
        <w:rPr>
          <w:rFonts w:asciiTheme="minorHAnsi" w:hAnsiTheme="minorHAnsi" w:cstheme="minorHAnsi"/>
          <w:szCs w:val="22"/>
        </w:rPr>
        <w:t>Fund Manufacturer</w:t>
      </w:r>
      <w:r w:rsidR="00936C81">
        <w:rPr>
          <w:rFonts w:asciiTheme="minorHAnsi" w:hAnsiTheme="minorHAnsi" w:cstheme="minorHAnsi"/>
          <w:szCs w:val="22"/>
        </w:rPr>
        <w:t xml:space="preserve"> </w:t>
      </w:r>
      <w:r w:rsidRPr="00331B33">
        <w:rPr>
          <w:rFonts w:asciiTheme="minorHAnsi" w:hAnsiTheme="minorHAnsi" w:cstheme="minorHAnsi"/>
          <w:szCs w:val="22"/>
        </w:rPr>
        <w:t>and</w:t>
      </w:r>
      <w:r w:rsidR="002907D4" w:rsidRPr="00331B33">
        <w:rPr>
          <w:rFonts w:asciiTheme="minorHAnsi" w:hAnsiTheme="minorHAnsi" w:cstheme="minorHAnsi"/>
          <w:szCs w:val="22"/>
        </w:rPr>
        <w:t>/or</w:t>
      </w:r>
      <w:r w:rsidRPr="00331B33">
        <w:rPr>
          <w:rFonts w:asciiTheme="minorHAnsi" w:hAnsiTheme="minorHAnsi" w:cstheme="minorHAnsi"/>
          <w:szCs w:val="22"/>
        </w:rPr>
        <w:t xml:space="preserve"> Transfer Agent</w:t>
      </w:r>
      <w:r w:rsidR="002907D4" w:rsidRPr="00331B33">
        <w:rPr>
          <w:rFonts w:asciiTheme="minorHAnsi" w:hAnsiTheme="minorHAnsi" w:cstheme="minorHAnsi"/>
          <w:szCs w:val="22"/>
        </w:rPr>
        <w:t xml:space="preserve"> on service costs</w:t>
      </w:r>
      <w:r w:rsidRPr="00331B33">
        <w:rPr>
          <w:rFonts w:asciiTheme="minorHAnsi" w:hAnsiTheme="minorHAnsi" w:cstheme="minorHAnsi"/>
          <w:szCs w:val="22"/>
        </w:rPr>
        <w:t xml:space="preserve"> to create a personalised statement to the end investor. It is the responsibility of the </w:t>
      </w:r>
      <w:r w:rsidR="00EC4C60">
        <w:rPr>
          <w:rFonts w:asciiTheme="minorHAnsi" w:hAnsiTheme="minorHAnsi" w:cstheme="minorHAnsi"/>
          <w:szCs w:val="22"/>
        </w:rPr>
        <w:t>Fund Manufacturer</w:t>
      </w:r>
      <w:r w:rsidRPr="00331B33">
        <w:rPr>
          <w:rFonts w:asciiTheme="minorHAnsi" w:hAnsiTheme="minorHAnsi" w:cstheme="minorHAnsi"/>
          <w:szCs w:val="22"/>
        </w:rPr>
        <w:t xml:space="preserve"> to provide the generic product costs and the distributor to combine the service level costs where applicable to provide a personalised summary</w:t>
      </w:r>
      <w:r w:rsidR="00F54EAB">
        <w:rPr>
          <w:rFonts w:asciiTheme="minorHAnsi" w:hAnsiTheme="minorHAnsi" w:cstheme="minorHAnsi"/>
          <w:szCs w:val="22"/>
        </w:rPr>
        <w:t>.</w:t>
      </w:r>
      <w:r w:rsidRPr="00331B33">
        <w:rPr>
          <w:rFonts w:asciiTheme="minorHAnsi" w:hAnsiTheme="minorHAnsi" w:cstheme="minorHAnsi"/>
          <w:szCs w:val="22"/>
        </w:rPr>
        <w:t xml:space="preserve"> </w:t>
      </w:r>
    </w:p>
    <w:p w14:paraId="75685E17" w14:textId="77777777" w:rsidR="00CD78E9" w:rsidRPr="00331B33" w:rsidRDefault="00CD78E9" w:rsidP="00894AA2">
      <w:pPr>
        <w:spacing w:line="276" w:lineRule="auto"/>
        <w:jc w:val="both"/>
        <w:rPr>
          <w:rFonts w:asciiTheme="minorHAnsi" w:hAnsiTheme="minorHAnsi" w:cstheme="minorHAnsi"/>
          <w:szCs w:val="22"/>
        </w:rPr>
      </w:pPr>
    </w:p>
    <w:p w14:paraId="5D5121F4" w14:textId="21B2FB03" w:rsidR="00CD78E9" w:rsidRPr="003348C6" w:rsidRDefault="00F54EAB" w:rsidP="00894AA2">
      <w:pPr>
        <w:jc w:val="both"/>
        <w:rPr>
          <w:rFonts w:asciiTheme="minorHAnsi" w:hAnsiTheme="minorHAnsi" w:cstheme="minorHAnsi"/>
          <w:b/>
          <w:sz w:val="24"/>
        </w:rPr>
      </w:pPr>
      <w:r w:rsidRPr="00E760C2">
        <w:rPr>
          <w:b/>
          <w:i/>
          <w:color w:val="FF0000"/>
          <w:u w:val="single"/>
        </w:rPr>
        <w:t xml:space="preserve">Disclaimer: this data / these figures are not representative of any </w:t>
      </w:r>
      <w:r w:rsidR="005A6B31">
        <w:rPr>
          <w:b/>
          <w:i/>
          <w:color w:val="FF0000"/>
          <w:u w:val="single"/>
        </w:rPr>
        <w:t xml:space="preserve">specific </w:t>
      </w:r>
      <w:r w:rsidRPr="00E760C2">
        <w:rPr>
          <w:b/>
          <w:i/>
          <w:color w:val="FF0000"/>
          <w:u w:val="single"/>
        </w:rPr>
        <w:t>portfolio manager and are solely for illustration purposes</w:t>
      </w:r>
      <w:r w:rsidR="008D6619">
        <w:rPr>
          <w:b/>
          <w:i/>
          <w:color w:val="FF0000"/>
          <w:u w:val="single"/>
        </w:rPr>
        <w:t>. Growth rates are for illustrative purposes, as are holding periods. Firms should use growth rates and holding periods appropriate to the funds or portfolios described.</w:t>
      </w:r>
    </w:p>
    <w:p w14:paraId="1D5FAE85" w14:textId="77777777" w:rsidR="00CD78E9" w:rsidRPr="00EA6B11" w:rsidRDefault="00CD78E9" w:rsidP="00CD78E9">
      <w:pPr>
        <w:rPr>
          <w:rFonts w:cstheme="minorHAnsi"/>
          <w:sz w:val="24"/>
        </w:rPr>
      </w:pPr>
    </w:p>
    <w:p w14:paraId="055B08AD" w14:textId="04A11F5A" w:rsidR="006D3D3E" w:rsidRDefault="006D3D3E" w:rsidP="004E65EB">
      <w:pPr>
        <w:pStyle w:val="Heading3"/>
        <w:ind w:left="709"/>
        <w:rPr>
          <w:rFonts w:asciiTheme="minorHAnsi" w:hAnsiTheme="minorHAnsi"/>
          <w:color w:val="auto"/>
          <w:sz w:val="24"/>
          <w:szCs w:val="24"/>
        </w:rPr>
      </w:pPr>
      <w:bookmarkStart w:id="474" w:name="_Toc366502089"/>
      <w:bookmarkStart w:id="475" w:name="_Toc369907869"/>
      <w:bookmarkStart w:id="476" w:name="_Toc370052386"/>
      <w:bookmarkStart w:id="477" w:name="_Toc372234534"/>
      <w:bookmarkStart w:id="478" w:name="_Toc395871062"/>
      <w:bookmarkStart w:id="479" w:name="_Toc409468229"/>
      <w:bookmarkStart w:id="480" w:name="_Toc364001901"/>
      <w:bookmarkStart w:id="481" w:name="_Toc364343157"/>
      <w:bookmarkStart w:id="482" w:name="_Toc364343343"/>
      <w:bookmarkStart w:id="483" w:name="_Toc364343702"/>
      <w:bookmarkStart w:id="484" w:name="_Toc364635767"/>
      <w:bookmarkStart w:id="485" w:name="_Toc364636158"/>
      <w:bookmarkStart w:id="486" w:name="_Toc364636594"/>
      <w:r>
        <w:rPr>
          <w:rFonts w:asciiTheme="minorHAnsi" w:hAnsiTheme="minorHAnsi"/>
          <w:color w:val="auto"/>
          <w:sz w:val="24"/>
          <w:szCs w:val="24"/>
        </w:rPr>
        <w:t>Ex-Post Fund Manufacturer Template</w:t>
      </w:r>
      <w:bookmarkEnd w:id="474"/>
      <w:bookmarkEnd w:id="475"/>
      <w:bookmarkEnd w:id="476"/>
      <w:bookmarkEnd w:id="477"/>
      <w:bookmarkEnd w:id="478"/>
      <w:bookmarkEnd w:id="479"/>
    </w:p>
    <w:p w14:paraId="06EAEEBF" w14:textId="77777777" w:rsidR="006D3D3E" w:rsidRDefault="006D3D3E" w:rsidP="002E45F4">
      <w:pPr>
        <w:rPr>
          <w:rFonts w:asciiTheme="minorHAnsi" w:hAnsiTheme="minorHAnsi" w:cstheme="minorHAnsi"/>
          <w:szCs w:val="22"/>
        </w:rPr>
      </w:pPr>
    </w:p>
    <w:p w14:paraId="07601CE5" w14:textId="56688616" w:rsidR="006D3D3E" w:rsidRDefault="008D6619" w:rsidP="00894AA2">
      <w:pPr>
        <w:spacing w:line="276" w:lineRule="auto"/>
        <w:ind w:left="0"/>
        <w:jc w:val="both"/>
        <w:rPr>
          <w:rFonts w:asciiTheme="minorHAnsi" w:hAnsiTheme="minorHAnsi" w:cstheme="minorHAnsi"/>
          <w:szCs w:val="22"/>
        </w:rPr>
      </w:pPr>
      <w:r w:rsidRPr="006D3D3E">
        <w:rPr>
          <w:rFonts w:asciiTheme="minorHAnsi" w:hAnsiTheme="minorHAnsi" w:cstheme="minorHAnsi"/>
          <w:szCs w:val="22"/>
        </w:rPr>
        <w:t>Th</w:t>
      </w:r>
      <w:r>
        <w:rPr>
          <w:rFonts w:asciiTheme="minorHAnsi" w:hAnsiTheme="minorHAnsi" w:cstheme="minorHAnsi"/>
          <w:szCs w:val="22"/>
        </w:rPr>
        <w:t>e following</w:t>
      </w:r>
      <w:r w:rsidRPr="006D3D3E">
        <w:rPr>
          <w:rFonts w:asciiTheme="minorHAnsi" w:hAnsiTheme="minorHAnsi" w:cstheme="minorHAnsi"/>
          <w:szCs w:val="22"/>
        </w:rPr>
        <w:t xml:space="preserve"> </w:t>
      </w:r>
      <w:r w:rsidR="006D3D3E" w:rsidRPr="006D3D3E">
        <w:rPr>
          <w:rFonts w:asciiTheme="minorHAnsi" w:hAnsiTheme="minorHAnsi" w:cstheme="minorHAnsi"/>
          <w:szCs w:val="22"/>
        </w:rPr>
        <w:t xml:space="preserve">is an example </w:t>
      </w:r>
      <w:r w:rsidR="003736A4">
        <w:rPr>
          <w:rFonts w:asciiTheme="minorHAnsi" w:hAnsiTheme="minorHAnsi" w:cstheme="minorHAnsi"/>
          <w:szCs w:val="22"/>
        </w:rPr>
        <w:t>E</w:t>
      </w:r>
      <w:r w:rsidR="006D3D3E" w:rsidRPr="006D3D3E">
        <w:rPr>
          <w:rFonts w:asciiTheme="minorHAnsi" w:hAnsiTheme="minorHAnsi" w:cstheme="minorHAnsi"/>
          <w:szCs w:val="22"/>
        </w:rPr>
        <w:t>x-</w:t>
      </w:r>
      <w:r w:rsidR="003736A4">
        <w:rPr>
          <w:rFonts w:asciiTheme="minorHAnsi" w:hAnsiTheme="minorHAnsi" w:cstheme="minorHAnsi"/>
          <w:szCs w:val="22"/>
        </w:rPr>
        <w:t>P</w:t>
      </w:r>
      <w:r w:rsidR="006D3D3E" w:rsidRPr="006D3D3E">
        <w:rPr>
          <w:rFonts w:asciiTheme="minorHAnsi" w:hAnsiTheme="minorHAnsi" w:cstheme="minorHAnsi"/>
          <w:szCs w:val="22"/>
        </w:rPr>
        <w:t xml:space="preserve">ost cost and charges disclosure template for a </w:t>
      </w:r>
      <w:r w:rsidR="00CD2461">
        <w:rPr>
          <w:rFonts w:asciiTheme="minorHAnsi" w:hAnsiTheme="minorHAnsi" w:cstheme="minorHAnsi"/>
          <w:szCs w:val="22"/>
        </w:rPr>
        <w:t>F</w:t>
      </w:r>
      <w:r w:rsidR="006D3D3E" w:rsidRPr="006D3D3E">
        <w:rPr>
          <w:rFonts w:asciiTheme="minorHAnsi" w:hAnsiTheme="minorHAnsi" w:cstheme="minorHAnsi"/>
          <w:szCs w:val="22"/>
        </w:rPr>
        <w:t xml:space="preserve">und </w:t>
      </w:r>
      <w:r w:rsidR="00CD2461">
        <w:rPr>
          <w:rFonts w:asciiTheme="minorHAnsi" w:hAnsiTheme="minorHAnsi" w:cstheme="minorHAnsi"/>
          <w:szCs w:val="22"/>
        </w:rPr>
        <w:t>M</w:t>
      </w:r>
      <w:r w:rsidR="006D3D3E" w:rsidRPr="006D3D3E">
        <w:rPr>
          <w:rFonts w:asciiTheme="minorHAnsi" w:hAnsiTheme="minorHAnsi" w:cstheme="minorHAnsi"/>
          <w:szCs w:val="22"/>
        </w:rPr>
        <w:t>anufacturer.</w:t>
      </w:r>
      <w:r w:rsidR="003736A4">
        <w:rPr>
          <w:rFonts w:asciiTheme="minorHAnsi" w:hAnsiTheme="minorHAnsi" w:cstheme="minorHAnsi"/>
          <w:szCs w:val="22"/>
        </w:rPr>
        <w:t xml:space="preserve"> </w:t>
      </w:r>
      <w:r w:rsidR="006D3D3E" w:rsidRPr="006D3D3E">
        <w:rPr>
          <w:rFonts w:asciiTheme="minorHAnsi" w:hAnsiTheme="minorHAnsi" w:cstheme="minorHAnsi"/>
          <w:szCs w:val="22"/>
        </w:rPr>
        <w:t xml:space="preserve"> Fund Manufacturers may use this to service commercial requests from direct clients to provide a personalised statement of fund cost and charges.</w:t>
      </w:r>
    </w:p>
    <w:p w14:paraId="019503AB" w14:textId="77777777" w:rsidR="006D3D3E" w:rsidRDefault="006D3D3E" w:rsidP="00894AA2">
      <w:pPr>
        <w:ind w:left="0"/>
        <w:jc w:val="both"/>
        <w:rPr>
          <w:rFonts w:asciiTheme="minorHAnsi" w:hAnsiTheme="minorHAnsi" w:cstheme="minorHAnsi"/>
          <w:szCs w:val="22"/>
        </w:rPr>
      </w:pPr>
    </w:p>
    <w:p w14:paraId="4D2435CE" w14:textId="77777777" w:rsidR="006D3D3E" w:rsidRDefault="006D3D3E" w:rsidP="002E45F4">
      <w:pPr>
        <w:ind w:left="0"/>
        <w:rPr>
          <w:rFonts w:asciiTheme="minorHAnsi" w:hAnsiTheme="minorHAnsi" w:cstheme="minorHAnsi"/>
          <w:szCs w:val="22"/>
        </w:rPr>
      </w:pPr>
    </w:p>
    <w:p w14:paraId="1086B742" w14:textId="4194E85C" w:rsidR="006D3D3E" w:rsidRDefault="00105733" w:rsidP="002E45F4">
      <w:pPr>
        <w:ind w:left="0"/>
        <w:rPr>
          <w:rFonts w:asciiTheme="minorHAnsi" w:hAnsiTheme="minorHAnsi" w:cstheme="minorHAnsi"/>
          <w:szCs w:val="22"/>
        </w:rPr>
      </w:pPr>
      <w:r w:rsidRPr="008F524F">
        <w:rPr>
          <w:rFonts w:asciiTheme="minorHAnsi" w:hAnsiTheme="minorHAnsi" w:cstheme="minorHAnsi"/>
          <w:noProof/>
          <w:szCs w:val="22"/>
        </w:rPr>
        <w:lastRenderedPageBreak/>
        <w:drawing>
          <wp:inline distT="0" distB="0" distL="0" distR="0" wp14:anchorId="14BA13EF" wp14:editId="44FF4643">
            <wp:extent cx="5731510" cy="543146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5431463"/>
                    </a:xfrm>
                    <a:prstGeom prst="rect">
                      <a:avLst/>
                    </a:prstGeom>
                  </pic:spPr>
                </pic:pic>
              </a:graphicData>
            </a:graphic>
          </wp:inline>
        </w:drawing>
      </w:r>
    </w:p>
    <w:p w14:paraId="6060A334" w14:textId="77777777" w:rsidR="00B531A6" w:rsidRDefault="00B531A6" w:rsidP="002E45F4">
      <w:pPr>
        <w:ind w:left="0"/>
        <w:rPr>
          <w:rFonts w:asciiTheme="minorHAnsi" w:hAnsiTheme="minorHAnsi" w:cstheme="minorHAnsi"/>
          <w:szCs w:val="22"/>
        </w:rPr>
      </w:pPr>
    </w:p>
    <w:p w14:paraId="7661FE0B" w14:textId="77777777" w:rsidR="00B531A6" w:rsidRDefault="00B531A6" w:rsidP="002E45F4">
      <w:pPr>
        <w:ind w:left="0"/>
        <w:rPr>
          <w:rFonts w:asciiTheme="minorHAnsi" w:hAnsiTheme="minorHAnsi" w:cstheme="minorHAnsi"/>
          <w:szCs w:val="22"/>
        </w:rPr>
      </w:pPr>
    </w:p>
    <w:p w14:paraId="1B310B56" w14:textId="77777777" w:rsidR="006D3D3E" w:rsidRDefault="006D3D3E" w:rsidP="002E45F4">
      <w:pPr>
        <w:ind w:left="0"/>
        <w:rPr>
          <w:rFonts w:asciiTheme="minorHAnsi" w:hAnsiTheme="minorHAnsi" w:cstheme="minorHAnsi"/>
          <w:szCs w:val="22"/>
        </w:rPr>
      </w:pPr>
    </w:p>
    <w:p w14:paraId="472FF6DB" w14:textId="4F5E11F0" w:rsidR="00B531A6" w:rsidRPr="00B531A6" w:rsidRDefault="00B531A6" w:rsidP="004E65EB">
      <w:pPr>
        <w:pStyle w:val="Heading3"/>
        <w:ind w:left="709"/>
        <w:rPr>
          <w:rFonts w:asciiTheme="minorHAnsi" w:hAnsiTheme="minorHAnsi"/>
          <w:color w:val="auto"/>
          <w:sz w:val="24"/>
          <w:szCs w:val="24"/>
        </w:rPr>
      </w:pPr>
      <w:bookmarkStart w:id="487" w:name="_Toc366502090"/>
      <w:bookmarkStart w:id="488" w:name="_Toc369907870"/>
      <w:bookmarkStart w:id="489" w:name="_Toc370052387"/>
      <w:bookmarkStart w:id="490" w:name="_Toc372234535"/>
      <w:bookmarkStart w:id="491" w:name="_Toc395871063"/>
      <w:bookmarkStart w:id="492" w:name="_Toc409468230"/>
      <w:r>
        <w:rPr>
          <w:rFonts w:asciiTheme="minorHAnsi" w:hAnsiTheme="minorHAnsi"/>
          <w:color w:val="auto"/>
          <w:sz w:val="24"/>
          <w:szCs w:val="24"/>
        </w:rPr>
        <w:t>Ex-Post Fund Distributor Template</w:t>
      </w:r>
      <w:bookmarkEnd w:id="487"/>
      <w:bookmarkEnd w:id="488"/>
      <w:bookmarkEnd w:id="489"/>
      <w:bookmarkEnd w:id="490"/>
      <w:bookmarkEnd w:id="491"/>
      <w:bookmarkEnd w:id="492"/>
    </w:p>
    <w:p w14:paraId="66170D00" w14:textId="77777777" w:rsidR="00B531A6" w:rsidRDefault="00B531A6" w:rsidP="002E45F4"/>
    <w:p w14:paraId="62A2D826" w14:textId="37F8EF23" w:rsidR="00B531A6" w:rsidRDefault="00B531A6" w:rsidP="00894AA2">
      <w:pPr>
        <w:spacing w:line="276" w:lineRule="auto"/>
        <w:ind w:left="0"/>
        <w:jc w:val="both"/>
        <w:rPr>
          <w:rFonts w:asciiTheme="minorHAnsi" w:hAnsiTheme="minorHAnsi" w:cstheme="minorHAnsi"/>
          <w:szCs w:val="22"/>
        </w:rPr>
      </w:pPr>
      <w:r w:rsidRPr="006D3D3E">
        <w:rPr>
          <w:rFonts w:asciiTheme="minorHAnsi" w:hAnsiTheme="minorHAnsi" w:cstheme="minorHAnsi"/>
          <w:szCs w:val="22"/>
        </w:rPr>
        <w:t xml:space="preserve">This is an example </w:t>
      </w:r>
      <w:r w:rsidR="003736A4">
        <w:rPr>
          <w:rFonts w:asciiTheme="minorHAnsi" w:hAnsiTheme="minorHAnsi" w:cstheme="minorHAnsi"/>
          <w:szCs w:val="22"/>
        </w:rPr>
        <w:t>E</w:t>
      </w:r>
      <w:r w:rsidRPr="006D3D3E">
        <w:rPr>
          <w:rFonts w:asciiTheme="minorHAnsi" w:hAnsiTheme="minorHAnsi" w:cstheme="minorHAnsi"/>
          <w:szCs w:val="22"/>
        </w:rPr>
        <w:t>x-</w:t>
      </w:r>
      <w:r w:rsidR="003736A4">
        <w:rPr>
          <w:rFonts w:asciiTheme="minorHAnsi" w:hAnsiTheme="minorHAnsi" w:cstheme="minorHAnsi"/>
          <w:szCs w:val="22"/>
        </w:rPr>
        <w:t>P</w:t>
      </w:r>
      <w:r w:rsidRPr="006D3D3E">
        <w:rPr>
          <w:rFonts w:asciiTheme="minorHAnsi" w:hAnsiTheme="minorHAnsi" w:cstheme="minorHAnsi"/>
          <w:szCs w:val="22"/>
        </w:rPr>
        <w:t>ost cost and charges disclosure template for a Distributor.</w:t>
      </w:r>
      <w:r w:rsidR="003736A4">
        <w:rPr>
          <w:rFonts w:asciiTheme="minorHAnsi" w:hAnsiTheme="minorHAnsi" w:cstheme="minorHAnsi"/>
          <w:szCs w:val="22"/>
        </w:rPr>
        <w:t xml:space="preserve"> </w:t>
      </w:r>
      <w:r w:rsidRPr="006D3D3E">
        <w:rPr>
          <w:rFonts w:asciiTheme="minorHAnsi" w:hAnsiTheme="minorHAnsi" w:cstheme="minorHAnsi"/>
          <w:szCs w:val="22"/>
        </w:rPr>
        <w:t xml:space="preserve"> Distributors would receive the EMT product costs from product manufacturers to which they would add their own service costs to provide the end investor with a personalised statement.</w:t>
      </w:r>
    </w:p>
    <w:p w14:paraId="66E2FACD" w14:textId="77777777" w:rsidR="00B531A6" w:rsidRDefault="00B531A6" w:rsidP="00B531A6">
      <w:pPr>
        <w:ind w:left="0"/>
        <w:rPr>
          <w:rFonts w:asciiTheme="minorHAnsi" w:hAnsiTheme="minorHAnsi" w:cstheme="minorHAnsi"/>
          <w:szCs w:val="22"/>
        </w:rPr>
      </w:pPr>
    </w:p>
    <w:p w14:paraId="309B7253" w14:textId="04FC95F3" w:rsidR="00F8633C" w:rsidRDefault="00F8633C" w:rsidP="00B531A6">
      <w:pPr>
        <w:ind w:left="0"/>
        <w:rPr>
          <w:rFonts w:asciiTheme="minorHAnsi" w:hAnsiTheme="minorHAnsi" w:cstheme="minorHAnsi"/>
          <w:szCs w:val="22"/>
        </w:rPr>
      </w:pPr>
    </w:p>
    <w:p w14:paraId="2CBC89C7" w14:textId="08A2EAF7" w:rsidR="00B531A6" w:rsidRDefault="00B531A6" w:rsidP="00B531A6">
      <w:pPr>
        <w:ind w:left="0"/>
        <w:rPr>
          <w:rFonts w:asciiTheme="minorHAnsi" w:hAnsiTheme="minorHAnsi" w:cstheme="minorHAnsi"/>
          <w:szCs w:val="22"/>
        </w:rPr>
      </w:pPr>
    </w:p>
    <w:p w14:paraId="1D5AB1A3" w14:textId="77777777" w:rsidR="00B531A6" w:rsidRPr="002E45F4" w:rsidRDefault="00B531A6" w:rsidP="002E45F4"/>
    <w:p w14:paraId="055B7D29" w14:textId="26B50A20" w:rsidR="00753971" w:rsidRDefault="000D7FB8">
      <w:pPr>
        <w:spacing w:after="160" w:line="259" w:lineRule="auto"/>
        <w:ind w:left="0"/>
        <w:rPr>
          <w:rFonts w:asciiTheme="minorHAnsi" w:eastAsiaTheme="majorEastAsia" w:hAnsiTheme="minorHAnsi" w:cstheme="majorBidi"/>
          <w:b/>
          <w:bCs/>
          <w:sz w:val="24"/>
          <w:szCs w:val="24"/>
        </w:rPr>
      </w:pPr>
      <w:bookmarkStart w:id="493" w:name="_Toc366502091"/>
      <w:r w:rsidRPr="008F524F">
        <w:rPr>
          <w:rFonts w:asciiTheme="minorHAnsi" w:hAnsiTheme="minorHAnsi"/>
          <w:noProof/>
          <w:sz w:val="24"/>
          <w:szCs w:val="24"/>
        </w:rPr>
        <w:lastRenderedPageBreak/>
        <w:drawing>
          <wp:inline distT="0" distB="0" distL="0" distR="0" wp14:anchorId="0A5228AC" wp14:editId="65B817A0">
            <wp:extent cx="5731510" cy="6013799"/>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6013799"/>
                    </a:xfrm>
                    <a:prstGeom prst="rect">
                      <a:avLst/>
                    </a:prstGeom>
                  </pic:spPr>
                </pic:pic>
              </a:graphicData>
            </a:graphic>
          </wp:inline>
        </w:drawing>
      </w:r>
      <w:r w:rsidR="00753971">
        <w:rPr>
          <w:rFonts w:asciiTheme="minorHAnsi" w:hAnsiTheme="minorHAnsi"/>
          <w:sz w:val="24"/>
          <w:szCs w:val="24"/>
        </w:rPr>
        <w:br w:type="page"/>
      </w:r>
    </w:p>
    <w:p w14:paraId="7AB6D910" w14:textId="136784BA" w:rsidR="00CD78E9" w:rsidRDefault="00CD78E9" w:rsidP="004E65EB">
      <w:pPr>
        <w:pStyle w:val="Heading3"/>
        <w:ind w:left="709"/>
        <w:rPr>
          <w:rFonts w:asciiTheme="minorHAnsi" w:hAnsiTheme="minorHAnsi"/>
          <w:color w:val="auto"/>
          <w:sz w:val="24"/>
          <w:szCs w:val="24"/>
        </w:rPr>
      </w:pPr>
      <w:bookmarkStart w:id="494" w:name="_Toc369907871"/>
      <w:bookmarkStart w:id="495" w:name="_Toc370052388"/>
      <w:bookmarkStart w:id="496" w:name="_Toc372234536"/>
      <w:bookmarkStart w:id="497" w:name="_Toc395871064"/>
      <w:bookmarkStart w:id="498" w:name="_Toc409468231"/>
      <w:r w:rsidRPr="003348C6">
        <w:rPr>
          <w:rFonts w:asciiTheme="minorHAnsi" w:hAnsiTheme="minorHAnsi"/>
          <w:color w:val="auto"/>
          <w:sz w:val="24"/>
          <w:szCs w:val="24"/>
        </w:rPr>
        <w:lastRenderedPageBreak/>
        <w:t>Ex</w:t>
      </w:r>
      <w:r w:rsidR="00874A34">
        <w:rPr>
          <w:rFonts w:asciiTheme="minorHAnsi" w:hAnsiTheme="minorHAnsi"/>
          <w:color w:val="auto"/>
          <w:sz w:val="24"/>
          <w:szCs w:val="24"/>
        </w:rPr>
        <w:t>-</w:t>
      </w:r>
      <w:r w:rsidRPr="003348C6">
        <w:rPr>
          <w:rFonts w:asciiTheme="minorHAnsi" w:hAnsiTheme="minorHAnsi"/>
          <w:color w:val="auto"/>
          <w:sz w:val="24"/>
          <w:szCs w:val="24"/>
        </w:rPr>
        <w:t>Post Funds Cost and Charges Disclosure – Advisory Portfolio Template</w:t>
      </w:r>
      <w:bookmarkEnd w:id="480"/>
      <w:bookmarkEnd w:id="481"/>
      <w:bookmarkEnd w:id="482"/>
      <w:bookmarkEnd w:id="483"/>
      <w:bookmarkEnd w:id="484"/>
      <w:bookmarkEnd w:id="485"/>
      <w:bookmarkEnd w:id="486"/>
      <w:bookmarkEnd w:id="493"/>
      <w:bookmarkEnd w:id="494"/>
      <w:bookmarkEnd w:id="495"/>
      <w:bookmarkEnd w:id="496"/>
      <w:bookmarkEnd w:id="497"/>
      <w:bookmarkEnd w:id="498"/>
    </w:p>
    <w:p w14:paraId="4D9187B5" w14:textId="77777777" w:rsidR="003736A4" w:rsidRDefault="003736A4" w:rsidP="002E45F4"/>
    <w:p w14:paraId="5374A1CE" w14:textId="02ECCCCB" w:rsidR="003736A4" w:rsidRPr="002E45F4" w:rsidRDefault="003736A4" w:rsidP="002E45F4">
      <w:r w:rsidRPr="002E45F4">
        <w:rPr>
          <w:rFonts w:asciiTheme="minorHAnsi" w:hAnsiTheme="minorHAnsi"/>
        </w:rPr>
        <w:t xml:space="preserve">This is an example Ex-Post cost and charges disclosure template for </w:t>
      </w:r>
      <w:r>
        <w:rPr>
          <w:rFonts w:asciiTheme="minorHAnsi" w:hAnsiTheme="minorHAnsi"/>
        </w:rPr>
        <w:t xml:space="preserve">an Advisory </w:t>
      </w:r>
      <w:r w:rsidR="00107703">
        <w:rPr>
          <w:rFonts w:asciiTheme="minorHAnsi" w:hAnsiTheme="minorHAnsi"/>
        </w:rPr>
        <w:t>portfolio</w:t>
      </w:r>
      <w:r w:rsidRPr="002E45F4">
        <w:rPr>
          <w:rFonts w:asciiTheme="minorHAnsi" w:hAnsiTheme="minorHAnsi"/>
        </w:rPr>
        <w:t xml:space="preserve">.  </w:t>
      </w:r>
    </w:p>
    <w:p w14:paraId="76D6E279" w14:textId="77777777" w:rsidR="00CD78E9" w:rsidRDefault="00CD78E9" w:rsidP="00CD78E9">
      <w:pPr>
        <w:rPr>
          <w:rFonts w:cstheme="minorHAnsi"/>
          <w:sz w:val="24"/>
        </w:rPr>
      </w:pPr>
      <w:r w:rsidRPr="00AB49CD">
        <w:rPr>
          <w:rFonts w:cstheme="minorHAnsi"/>
          <w:noProof/>
          <w:sz w:val="24"/>
        </w:rPr>
        <w:drawing>
          <wp:inline distT="0" distB="0" distL="0" distR="0" wp14:anchorId="4E5D322A" wp14:editId="685A4355">
            <wp:extent cx="5731510" cy="6951293"/>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6951293"/>
                    </a:xfrm>
                    <a:prstGeom prst="rect">
                      <a:avLst/>
                    </a:prstGeom>
                  </pic:spPr>
                </pic:pic>
              </a:graphicData>
            </a:graphic>
          </wp:inline>
        </w:drawing>
      </w:r>
    </w:p>
    <w:p w14:paraId="2CBB3DE2" w14:textId="77777777" w:rsidR="00CD78E9" w:rsidRDefault="00CD78E9" w:rsidP="00CD78E9">
      <w:pPr>
        <w:rPr>
          <w:rFonts w:cstheme="minorHAnsi"/>
          <w:sz w:val="24"/>
        </w:rPr>
      </w:pPr>
    </w:p>
    <w:p w14:paraId="2641DFBE" w14:textId="77777777" w:rsidR="00CD78E9" w:rsidRDefault="00CD78E9" w:rsidP="00CD78E9">
      <w:pPr>
        <w:rPr>
          <w:rFonts w:cstheme="minorHAnsi"/>
          <w:sz w:val="24"/>
        </w:rPr>
      </w:pPr>
    </w:p>
    <w:p w14:paraId="4831514B" w14:textId="77777777" w:rsidR="00CD78E9" w:rsidRDefault="00CD78E9" w:rsidP="00CD78E9">
      <w:pPr>
        <w:rPr>
          <w:rFonts w:cstheme="minorHAnsi"/>
          <w:sz w:val="24"/>
        </w:rPr>
      </w:pPr>
    </w:p>
    <w:p w14:paraId="270878D9" w14:textId="77777777" w:rsidR="00CD78E9" w:rsidRDefault="00CD78E9" w:rsidP="00CD78E9">
      <w:pPr>
        <w:rPr>
          <w:rFonts w:cstheme="minorHAnsi"/>
          <w:sz w:val="24"/>
        </w:rPr>
      </w:pPr>
      <w:r w:rsidRPr="00AB49CD">
        <w:rPr>
          <w:rFonts w:cstheme="minorHAnsi"/>
          <w:noProof/>
          <w:sz w:val="24"/>
        </w:rPr>
        <w:lastRenderedPageBreak/>
        <w:drawing>
          <wp:inline distT="0" distB="0" distL="0" distR="0" wp14:anchorId="69D5F80E" wp14:editId="509A2BAB">
            <wp:extent cx="5731510" cy="6530615"/>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6530615"/>
                    </a:xfrm>
                    <a:prstGeom prst="rect">
                      <a:avLst/>
                    </a:prstGeom>
                  </pic:spPr>
                </pic:pic>
              </a:graphicData>
            </a:graphic>
          </wp:inline>
        </w:drawing>
      </w:r>
    </w:p>
    <w:p w14:paraId="0B10E511" w14:textId="77777777" w:rsidR="00CD78E9" w:rsidRDefault="00CD78E9" w:rsidP="00CD78E9">
      <w:pPr>
        <w:rPr>
          <w:rFonts w:cstheme="minorHAnsi"/>
          <w:b/>
          <w:sz w:val="24"/>
        </w:rPr>
      </w:pPr>
    </w:p>
    <w:p w14:paraId="2230748D" w14:textId="77777777" w:rsidR="00CD78E9" w:rsidRDefault="00CD78E9" w:rsidP="00CD78E9">
      <w:pPr>
        <w:rPr>
          <w:rFonts w:cstheme="minorHAnsi"/>
          <w:b/>
          <w:sz w:val="24"/>
        </w:rPr>
      </w:pPr>
      <w:r>
        <w:rPr>
          <w:rFonts w:cstheme="minorHAnsi"/>
          <w:b/>
          <w:sz w:val="24"/>
        </w:rPr>
        <w:br w:type="page"/>
      </w:r>
    </w:p>
    <w:p w14:paraId="4C330E68" w14:textId="77777777" w:rsidR="00CD78E9" w:rsidRDefault="00CD78E9" w:rsidP="007D53AC">
      <w:pPr>
        <w:ind w:left="0"/>
        <w:rPr>
          <w:rFonts w:cstheme="minorHAnsi"/>
          <w:sz w:val="24"/>
        </w:rPr>
      </w:pPr>
    </w:p>
    <w:p w14:paraId="248CF45E" w14:textId="3A058BD3" w:rsidR="00CD78E9" w:rsidRPr="003348C6" w:rsidRDefault="00CD78E9" w:rsidP="004E65EB">
      <w:pPr>
        <w:pStyle w:val="Heading3"/>
        <w:ind w:left="709"/>
        <w:rPr>
          <w:rFonts w:asciiTheme="minorHAnsi" w:hAnsiTheme="minorHAnsi"/>
          <w:color w:val="auto"/>
          <w:sz w:val="24"/>
          <w:szCs w:val="24"/>
        </w:rPr>
      </w:pPr>
      <w:bookmarkStart w:id="499" w:name="_Toc364001903"/>
      <w:bookmarkStart w:id="500" w:name="_Toc364343159"/>
      <w:bookmarkStart w:id="501" w:name="_Toc364343345"/>
      <w:bookmarkStart w:id="502" w:name="_Toc364343704"/>
      <w:bookmarkStart w:id="503" w:name="_Toc364635769"/>
      <w:bookmarkStart w:id="504" w:name="_Toc364636160"/>
      <w:bookmarkStart w:id="505" w:name="_Toc364636596"/>
      <w:bookmarkStart w:id="506" w:name="_Toc366502092"/>
      <w:bookmarkStart w:id="507" w:name="_Toc369907872"/>
      <w:bookmarkStart w:id="508" w:name="_Toc370052389"/>
      <w:bookmarkStart w:id="509" w:name="_Toc372234537"/>
      <w:bookmarkStart w:id="510" w:name="_Toc395871065"/>
      <w:bookmarkStart w:id="511" w:name="_Toc409468232"/>
      <w:r w:rsidRPr="003348C6">
        <w:rPr>
          <w:rFonts w:asciiTheme="minorHAnsi" w:hAnsiTheme="minorHAnsi"/>
          <w:color w:val="auto"/>
          <w:sz w:val="24"/>
          <w:szCs w:val="24"/>
        </w:rPr>
        <w:t>Third</w:t>
      </w:r>
      <w:r w:rsidR="00874A34">
        <w:rPr>
          <w:rFonts w:asciiTheme="minorHAnsi" w:hAnsiTheme="minorHAnsi"/>
          <w:color w:val="auto"/>
          <w:sz w:val="24"/>
          <w:szCs w:val="24"/>
        </w:rPr>
        <w:t>-</w:t>
      </w:r>
      <w:r w:rsidRPr="003348C6">
        <w:rPr>
          <w:rFonts w:asciiTheme="minorHAnsi" w:hAnsiTheme="minorHAnsi"/>
          <w:color w:val="auto"/>
          <w:sz w:val="24"/>
          <w:szCs w:val="24"/>
        </w:rPr>
        <w:t>party payments received by the investment firm</w:t>
      </w:r>
      <w:bookmarkEnd w:id="499"/>
      <w:bookmarkEnd w:id="500"/>
      <w:bookmarkEnd w:id="501"/>
      <w:bookmarkEnd w:id="502"/>
      <w:bookmarkEnd w:id="503"/>
      <w:bookmarkEnd w:id="504"/>
      <w:bookmarkEnd w:id="505"/>
      <w:bookmarkEnd w:id="506"/>
      <w:bookmarkEnd w:id="507"/>
      <w:bookmarkEnd w:id="508"/>
      <w:bookmarkEnd w:id="509"/>
      <w:bookmarkEnd w:id="510"/>
      <w:bookmarkEnd w:id="511"/>
    </w:p>
    <w:p w14:paraId="4E8777F7" w14:textId="77777777" w:rsidR="00CD78E9" w:rsidRPr="00840A88" w:rsidRDefault="00CD78E9" w:rsidP="00CD78E9">
      <w:pPr>
        <w:rPr>
          <w:rFonts w:cstheme="minorHAnsi"/>
          <w:sz w:val="24"/>
        </w:rPr>
      </w:pPr>
    </w:p>
    <w:p w14:paraId="3E1212F3" w14:textId="77777777"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“Third Party payments received by investment firms or other parties in connection with the investment service provided to a client shall be itemised separately and the aggregated costs and charges shall be totalled and expressed both as a cash amount and as a percentage”</w:t>
      </w:r>
    </w:p>
    <w:p w14:paraId="566DD469" w14:textId="77777777" w:rsidR="00CD78E9" w:rsidRPr="000368AA" w:rsidRDefault="00CD78E9" w:rsidP="000368AA">
      <w:pPr>
        <w:jc w:val="both"/>
        <w:rPr>
          <w:rFonts w:asciiTheme="minorHAnsi" w:hAnsiTheme="minorHAnsi" w:cstheme="minorHAnsi"/>
          <w:szCs w:val="22"/>
        </w:rPr>
      </w:pPr>
    </w:p>
    <w:p w14:paraId="4E7A9BB5" w14:textId="588F7F60"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 xml:space="preserve">Third party payments received by firms in connection with the investment service shall be regarded as part of the cost of the service and identified separately (i.e. it should be clear to the client what part of the costs paid are rebated to the firm providing the investment service). This typically relates to retrocession or commission payments received by the investment firm. Care must be taken not to double-count any costs in both the </w:t>
      </w:r>
      <w:r w:rsidR="00874A34">
        <w:rPr>
          <w:rFonts w:asciiTheme="minorHAnsi" w:hAnsiTheme="minorHAnsi" w:cstheme="minorHAnsi"/>
          <w:szCs w:val="22"/>
        </w:rPr>
        <w:t>third-p</w:t>
      </w:r>
      <w:r w:rsidRPr="000368AA">
        <w:rPr>
          <w:rFonts w:asciiTheme="minorHAnsi" w:hAnsiTheme="minorHAnsi" w:cstheme="minorHAnsi"/>
          <w:szCs w:val="22"/>
        </w:rPr>
        <w:t xml:space="preserve">arty </w:t>
      </w:r>
      <w:r w:rsidR="00874A34">
        <w:rPr>
          <w:rFonts w:asciiTheme="minorHAnsi" w:hAnsiTheme="minorHAnsi" w:cstheme="minorHAnsi"/>
          <w:szCs w:val="22"/>
        </w:rPr>
        <w:t>c</w:t>
      </w:r>
      <w:r w:rsidRPr="000368AA">
        <w:rPr>
          <w:rFonts w:asciiTheme="minorHAnsi" w:hAnsiTheme="minorHAnsi" w:cstheme="minorHAnsi"/>
          <w:szCs w:val="22"/>
        </w:rPr>
        <w:t xml:space="preserve">ost category as well as the </w:t>
      </w:r>
      <w:r w:rsidR="00874A34">
        <w:rPr>
          <w:rFonts w:asciiTheme="minorHAnsi" w:hAnsiTheme="minorHAnsi" w:cstheme="minorHAnsi"/>
          <w:szCs w:val="22"/>
        </w:rPr>
        <w:t>p</w:t>
      </w:r>
      <w:r w:rsidRPr="000368AA">
        <w:rPr>
          <w:rFonts w:asciiTheme="minorHAnsi" w:hAnsiTheme="minorHAnsi" w:cstheme="minorHAnsi"/>
          <w:szCs w:val="22"/>
        </w:rPr>
        <w:t xml:space="preserve">roduct </w:t>
      </w:r>
      <w:r w:rsidR="00874A34">
        <w:rPr>
          <w:rFonts w:asciiTheme="minorHAnsi" w:hAnsiTheme="minorHAnsi" w:cstheme="minorHAnsi"/>
          <w:szCs w:val="22"/>
        </w:rPr>
        <w:t>c</w:t>
      </w:r>
      <w:r w:rsidRPr="000368AA">
        <w:rPr>
          <w:rFonts w:asciiTheme="minorHAnsi" w:hAnsiTheme="minorHAnsi" w:cstheme="minorHAnsi"/>
          <w:szCs w:val="22"/>
        </w:rPr>
        <w:t>ost bucket.</w:t>
      </w:r>
    </w:p>
    <w:p w14:paraId="50B4473E" w14:textId="77777777" w:rsidR="00CD78E9" w:rsidRPr="000368AA" w:rsidRDefault="00CD78E9" w:rsidP="000368AA">
      <w:pPr>
        <w:jc w:val="both"/>
        <w:rPr>
          <w:rFonts w:asciiTheme="minorHAnsi" w:hAnsiTheme="minorHAnsi" w:cstheme="minorHAnsi"/>
          <w:szCs w:val="22"/>
        </w:rPr>
      </w:pPr>
    </w:p>
    <w:p w14:paraId="2F1E0338" w14:textId="141675BF" w:rsidR="00CD78E9" w:rsidRDefault="00CD78E9" w:rsidP="000368AA">
      <w:pPr>
        <w:jc w:val="both"/>
        <w:rPr>
          <w:rFonts w:asciiTheme="minorHAnsi" w:hAnsiTheme="minorHAnsi" w:cstheme="minorHAnsi"/>
          <w:szCs w:val="22"/>
        </w:rPr>
      </w:pPr>
      <w:r w:rsidRPr="000368AA">
        <w:rPr>
          <w:rFonts w:asciiTheme="minorHAnsi" w:hAnsiTheme="minorHAnsi" w:cstheme="minorHAnsi"/>
          <w:szCs w:val="22"/>
        </w:rPr>
        <w:t>For example: A client that has been charged 0.20% AMC, and 0.05% of this is routinely given back to the intermediary as a retrocession (i.e. a 3rd party cost). The Ex</w:t>
      </w:r>
      <w:r w:rsidR="00874A34">
        <w:rPr>
          <w:rFonts w:asciiTheme="minorHAnsi" w:hAnsiTheme="minorHAnsi" w:cstheme="minorHAnsi"/>
          <w:szCs w:val="22"/>
        </w:rPr>
        <w:t>-</w:t>
      </w:r>
      <w:r w:rsidRPr="000368AA">
        <w:rPr>
          <w:rFonts w:asciiTheme="minorHAnsi" w:hAnsiTheme="minorHAnsi" w:cstheme="minorHAnsi"/>
          <w:szCs w:val="22"/>
        </w:rPr>
        <w:t>Post disclosure should reduce the cost to 0.15% and the 0.05% noted as a third party payment.</w:t>
      </w:r>
    </w:p>
    <w:p w14:paraId="46D450A3" w14:textId="77777777" w:rsidR="008D6619" w:rsidRDefault="008D6619" w:rsidP="000368AA">
      <w:pPr>
        <w:jc w:val="both"/>
        <w:rPr>
          <w:rFonts w:asciiTheme="minorHAnsi" w:hAnsiTheme="minorHAnsi" w:cstheme="minorHAnsi"/>
          <w:szCs w:val="22"/>
        </w:rPr>
      </w:pPr>
    </w:p>
    <w:p w14:paraId="5A26504F" w14:textId="0ADC4BEC" w:rsidR="008D6619" w:rsidRDefault="008D6619" w:rsidP="006757FC">
      <w:pPr>
        <w:pStyle w:val="Heading2"/>
      </w:pPr>
      <w:bookmarkStart w:id="512" w:name="_Toc369907873"/>
      <w:bookmarkStart w:id="513" w:name="_Toc370052390"/>
      <w:bookmarkStart w:id="514" w:name="_Toc372234538"/>
      <w:bookmarkStart w:id="515" w:name="_Toc395871066"/>
      <w:bookmarkStart w:id="516" w:name="_Toc409468233"/>
      <w:r>
        <w:t>Disclosure of zero cost where no cost or charge incurred</w:t>
      </w:r>
      <w:bookmarkEnd w:id="512"/>
      <w:bookmarkEnd w:id="513"/>
      <w:bookmarkEnd w:id="514"/>
      <w:bookmarkEnd w:id="515"/>
      <w:bookmarkEnd w:id="516"/>
    </w:p>
    <w:p w14:paraId="40594F63" w14:textId="77777777" w:rsidR="008D6619" w:rsidRDefault="008D6619" w:rsidP="006757FC"/>
    <w:p w14:paraId="3D475AB6" w14:textId="5E27E5B6" w:rsidR="008D6619" w:rsidRDefault="008D6619" w:rsidP="006757FC">
      <w:pPr>
        <w:rPr>
          <w:rFonts w:asciiTheme="minorHAnsi" w:hAnsiTheme="minorHAnsi"/>
        </w:rPr>
      </w:pPr>
      <w:r>
        <w:rPr>
          <w:rFonts w:asciiTheme="minorHAnsi" w:hAnsiTheme="minorHAnsi"/>
        </w:rPr>
        <w:t>The ESMA Investor Protection Q&amp;A, Question 20, raised the question as to whether zero costs should be reported.</w:t>
      </w:r>
    </w:p>
    <w:p w14:paraId="54DFC2C1" w14:textId="77777777" w:rsidR="008D6619" w:rsidRDefault="008D6619" w:rsidP="006757FC">
      <w:pPr>
        <w:rPr>
          <w:rFonts w:asciiTheme="minorHAnsi" w:hAnsiTheme="minorHAnsi"/>
        </w:rPr>
      </w:pPr>
    </w:p>
    <w:p w14:paraId="2544DEE6" w14:textId="6F4C1573" w:rsidR="008D6619" w:rsidRPr="006757FC" w:rsidRDefault="008D6619" w:rsidP="006757FC">
      <w:pPr>
        <w:rPr>
          <w:rFonts w:asciiTheme="minorHAnsi" w:hAnsiTheme="minorHAnsi"/>
        </w:rPr>
      </w:pPr>
      <w:r>
        <w:rPr>
          <w:rFonts w:asciiTheme="minorHAnsi" w:hAnsiTheme="minorHAnsi"/>
        </w:rPr>
        <w:t>TISA recommends that disclosures should be made such that they are true, fair and not misleading. Firms should thus consider whether recording zero in a cost line is appropriate. For example, reporting zero in respect of performance fees might be misleading if performance fees are not charged, as it would imply that they might be.</w:t>
      </w:r>
    </w:p>
    <w:p w14:paraId="2D6E5230" w14:textId="77777777" w:rsidR="00CD78E9" w:rsidRPr="006757FC" w:rsidRDefault="00CD78E9" w:rsidP="000368AA">
      <w:pPr>
        <w:jc w:val="both"/>
        <w:rPr>
          <w:rFonts w:asciiTheme="minorHAnsi" w:hAnsiTheme="minorHAnsi" w:cstheme="minorHAnsi"/>
          <w:szCs w:val="22"/>
        </w:rPr>
      </w:pPr>
    </w:p>
    <w:p w14:paraId="3F291371" w14:textId="77777777" w:rsidR="00CD78E9" w:rsidRPr="006757FC" w:rsidRDefault="00CD78E9" w:rsidP="007D53AC">
      <w:pPr>
        <w:ind w:left="0"/>
        <w:rPr>
          <w:rFonts w:asciiTheme="minorHAnsi" w:hAnsiTheme="minorHAnsi"/>
        </w:rPr>
      </w:pPr>
    </w:p>
    <w:p w14:paraId="0853FDE3" w14:textId="3DA2992A" w:rsidR="00CD78E9" w:rsidRPr="006757FC" w:rsidRDefault="00CD78E9" w:rsidP="00CD78E9">
      <w:pPr>
        <w:rPr>
          <w:rFonts w:asciiTheme="minorHAnsi" w:hAnsiTheme="minorHAnsi" w:cstheme="minorHAnsi"/>
          <w:sz w:val="24"/>
        </w:rPr>
      </w:pPr>
    </w:p>
    <w:p w14:paraId="21DABAB3" w14:textId="33620B6F" w:rsidR="000368AA" w:rsidRPr="006757FC" w:rsidRDefault="000368AA" w:rsidP="00CD78E9">
      <w:pPr>
        <w:rPr>
          <w:rFonts w:asciiTheme="minorHAnsi" w:hAnsiTheme="minorHAnsi" w:cstheme="minorHAnsi"/>
          <w:sz w:val="24"/>
        </w:rPr>
      </w:pPr>
    </w:p>
    <w:p w14:paraId="6D6CB7B0" w14:textId="77777777" w:rsidR="001324D0" w:rsidRPr="006757FC" w:rsidRDefault="001324D0" w:rsidP="00CD78E9">
      <w:pPr>
        <w:rPr>
          <w:rFonts w:asciiTheme="minorHAnsi" w:hAnsiTheme="minorHAnsi" w:cstheme="minorHAnsi"/>
          <w:sz w:val="24"/>
        </w:rPr>
      </w:pPr>
    </w:p>
    <w:p w14:paraId="059E36B2" w14:textId="77777777" w:rsidR="001324D0" w:rsidRPr="006757FC" w:rsidRDefault="001324D0">
      <w:pPr>
        <w:spacing w:after="160" w:line="259" w:lineRule="auto"/>
        <w:ind w:left="0"/>
        <w:rPr>
          <w:rFonts w:asciiTheme="minorHAnsi" w:hAnsiTheme="minorHAnsi" w:cstheme="minorHAnsi"/>
          <w:sz w:val="24"/>
        </w:rPr>
      </w:pPr>
      <w:r w:rsidRPr="006757FC">
        <w:rPr>
          <w:rFonts w:asciiTheme="minorHAnsi" w:hAnsiTheme="minorHAnsi" w:cstheme="minorHAnsi"/>
          <w:sz w:val="24"/>
        </w:rPr>
        <w:br w:type="page"/>
      </w:r>
    </w:p>
    <w:p w14:paraId="535D7C83" w14:textId="7ECFD152" w:rsidR="000368AA" w:rsidRPr="00331B33" w:rsidRDefault="001324D0" w:rsidP="007D53AC">
      <w:pPr>
        <w:pStyle w:val="Heading2"/>
      </w:pPr>
      <w:bookmarkStart w:id="517" w:name="_Toc364636163"/>
      <w:bookmarkStart w:id="518" w:name="_Toc364636599"/>
      <w:bookmarkStart w:id="519" w:name="_Toc366502093"/>
      <w:bookmarkStart w:id="520" w:name="_Toc369907874"/>
      <w:bookmarkStart w:id="521" w:name="_Toc370052391"/>
      <w:bookmarkStart w:id="522" w:name="_Toc372234539"/>
      <w:bookmarkStart w:id="523" w:name="_Toc395871067"/>
      <w:bookmarkStart w:id="524" w:name="_Toc409468234"/>
      <w:r w:rsidRPr="00331B33">
        <w:lastRenderedPageBreak/>
        <w:t>Fund of Funds and Multi-Strategy Portfolio Reporting</w:t>
      </w:r>
      <w:bookmarkEnd w:id="517"/>
      <w:bookmarkEnd w:id="518"/>
      <w:bookmarkEnd w:id="519"/>
      <w:bookmarkEnd w:id="520"/>
      <w:bookmarkEnd w:id="521"/>
      <w:bookmarkEnd w:id="522"/>
      <w:bookmarkEnd w:id="523"/>
      <w:bookmarkEnd w:id="524"/>
    </w:p>
    <w:p w14:paraId="193FB300" w14:textId="77777777" w:rsidR="00CD78E9" w:rsidRPr="00290BE6" w:rsidRDefault="00CD78E9" w:rsidP="004E65EB">
      <w:pPr>
        <w:pStyle w:val="Heading3"/>
        <w:ind w:left="709"/>
        <w:rPr>
          <w:rFonts w:asciiTheme="minorHAnsi" w:hAnsiTheme="minorHAnsi"/>
          <w:color w:val="auto"/>
          <w:sz w:val="24"/>
          <w:szCs w:val="24"/>
        </w:rPr>
      </w:pPr>
      <w:bookmarkStart w:id="525" w:name="_Toc364001910"/>
      <w:bookmarkStart w:id="526" w:name="_Toc364343162"/>
      <w:bookmarkStart w:id="527" w:name="_Toc364343348"/>
      <w:bookmarkStart w:id="528" w:name="_Toc364343707"/>
      <w:bookmarkStart w:id="529" w:name="_Toc364635772"/>
      <w:bookmarkStart w:id="530" w:name="_Toc364636164"/>
      <w:bookmarkStart w:id="531" w:name="_Toc364636600"/>
      <w:bookmarkStart w:id="532" w:name="_Toc366502094"/>
      <w:bookmarkStart w:id="533" w:name="_Toc369907875"/>
      <w:bookmarkStart w:id="534" w:name="_Toc370052392"/>
      <w:bookmarkStart w:id="535" w:name="_Toc372234540"/>
      <w:bookmarkStart w:id="536" w:name="_Toc395871068"/>
      <w:bookmarkStart w:id="537" w:name="_Toc409468235"/>
      <w:r w:rsidRPr="00290BE6">
        <w:rPr>
          <w:rFonts w:asciiTheme="minorHAnsi" w:hAnsiTheme="minorHAnsi"/>
          <w:color w:val="auto"/>
          <w:sz w:val="24"/>
          <w:szCs w:val="24"/>
        </w:rPr>
        <w:t>Sourcing cost &amp; charges data for Fund of Funds</w:t>
      </w:r>
      <w:bookmarkEnd w:id="525"/>
      <w:bookmarkEnd w:id="526"/>
      <w:bookmarkEnd w:id="527"/>
      <w:bookmarkEnd w:id="528"/>
      <w:bookmarkEnd w:id="529"/>
      <w:bookmarkEnd w:id="530"/>
      <w:bookmarkEnd w:id="531"/>
      <w:bookmarkEnd w:id="532"/>
      <w:bookmarkEnd w:id="533"/>
      <w:bookmarkEnd w:id="534"/>
      <w:bookmarkEnd w:id="535"/>
      <w:bookmarkEnd w:id="536"/>
      <w:bookmarkEnd w:id="537"/>
      <w:r w:rsidRPr="00290BE6">
        <w:rPr>
          <w:rFonts w:asciiTheme="minorHAnsi" w:hAnsiTheme="minorHAnsi"/>
          <w:color w:val="auto"/>
          <w:sz w:val="24"/>
          <w:szCs w:val="24"/>
        </w:rPr>
        <w:t xml:space="preserve"> </w:t>
      </w:r>
    </w:p>
    <w:p w14:paraId="3BC2D00E" w14:textId="77777777" w:rsidR="00CD78E9" w:rsidRDefault="00CD78E9" w:rsidP="00CD78E9">
      <w:pPr>
        <w:rPr>
          <w:rFonts w:cstheme="minorHAnsi"/>
          <w:sz w:val="24"/>
        </w:rPr>
      </w:pPr>
    </w:p>
    <w:p w14:paraId="3BB486BF" w14:textId="350954FE" w:rsidR="00CD78E9" w:rsidRPr="000368AA" w:rsidRDefault="007B5ABF" w:rsidP="000368AA">
      <w:pPr>
        <w:jc w:val="both"/>
        <w:rPr>
          <w:rFonts w:asciiTheme="minorHAnsi" w:hAnsiTheme="minorHAnsi" w:cstheme="minorHAnsi"/>
          <w:szCs w:val="22"/>
        </w:rPr>
      </w:pPr>
      <w:r>
        <w:rPr>
          <w:rFonts w:asciiTheme="minorHAnsi" w:hAnsiTheme="minorHAnsi" w:cstheme="minorHAnsi"/>
          <w:szCs w:val="22"/>
        </w:rPr>
        <w:t>The calculation of ongoing charges for the UCITS KIID requires a look-through to take account of the underlying</w:t>
      </w:r>
      <w:r w:rsidR="001A5CD0">
        <w:rPr>
          <w:rFonts w:asciiTheme="minorHAnsi" w:hAnsiTheme="minorHAnsi" w:cstheme="minorHAnsi"/>
          <w:szCs w:val="22"/>
        </w:rPr>
        <w:t xml:space="preserve"> funds’ ongoing charges. Similarly cost figures for PRIIPs are calculated on a look-through basis to take account of the costs arising in underlying PRIIPs. Therefore ongoing charges reported in the EMT will already take account of the costs of the underlying funds in a find of funds structure</w:t>
      </w:r>
      <w:r w:rsidR="00CD78E9" w:rsidRPr="000368AA">
        <w:rPr>
          <w:rFonts w:asciiTheme="minorHAnsi" w:hAnsiTheme="minorHAnsi" w:cstheme="minorHAnsi"/>
          <w:szCs w:val="22"/>
        </w:rPr>
        <w:t>.</w:t>
      </w:r>
    </w:p>
    <w:p w14:paraId="17A2292D" w14:textId="77777777" w:rsidR="00CD78E9" w:rsidRDefault="00CD78E9" w:rsidP="00CD78E9">
      <w:pPr>
        <w:rPr>
          <w:rFonts w:cstheme="minorHAnsi"/>
          <w:sz w:val="24"/>
        </w:rPr>
      </w:pPr>
    </w:p>
    <w:p w14:paraId="43126A61" w14:textId="43796979" w:rsidR="00CD78E9" w:rsidRPr="00290BE6" w:rsidRDefault="00CD78E9" w:rsidP="004E65EB">
      <w:pPr>
        <w:pStyle w:val="Heading3"/>
        <w:ind w:left="709"/>
        <w:rPr>
          <w:rFonts w:asciiTheme="minorHAnsi" w:hAnsiTheme="minorHAnsi"/>
          <w:color w:val="auto"/>
          <w:sz w:val="24"/>
          <w:szCs w:val="24"/>
        </w:rPr>
      </w:pPr>
      <w:bookmarkStart w:id="538" w:name="_Toc364001911"/>
      <w:bookmarkStart w:id="539" w:name="_Toc364343163"/>
      <w:bookmarkStart w:id="540" w:name="_Toc364343349"/>
      <w:bookmarkStart w:id="541" w:name="_Toc364343708"/>
      <w:bookmarkStart w:id="542" w:name="_Toc364635773"/>
      <w:bookmarkStart w:id="543" w:name="_Toc364636165"/>
      <w:bookmarkStart w:id="544" w:name="_Toc364636601"/>
      <w:bookmarkStart w:id="545" w:name="_Toc366502095"/>
      <w:bookmarkStart w:id="546" w:name="_Toc369907876"/>
      <w:bookmarkStart w:id="547" w:name="_Toc370052393"/>
      <w:bookmarkStart w:id="548" w:name="_Toc372234541"/>
      <w:bookmarkStart w:id="549" w:name="_Toc395871069"/>
      <w:bookmarkStart w:id="550" w:name="_Toc409468236"/>
      <w:r w:rsidRPr="00290BE6">
        <w:rPr>
          <w:rFonts w:asciiTheme="minorHAnsi" w:hAnsiTheme="minorHAnsi"/>
          <w:color w:val="auto"/>
          <w:sz w:val="24"/>
          <w:szCs w:val="24"/>
        </w:rPr>
        <w:t>Look-through materiality</w:t>
      </w:r>
      <w:bookmarkEnd w:id="538"/>
      <w:bookmarkEnd w:id="539"/>
      <w:bookmarkEnd w:id="540"/>
      <w:bookmarkEnd w:id="541"/>
      <w:bookmarkEnd w:id="542"/>
      <w:bookmarkEnd w:id="543"/>
      <w:bookmarkEnd w:id="544"/>
      <w:bookmarkEnd w:id="545"/>
      <w:bookmarkEnd w:id="546"/>
      <w:bookmarkEnd w:id="547"/>
      <w:bookmarkEnd w:id="548"/>
      <w:r w:rsidR="001A5CD0">
        <w:rPr>
          <w:rFonts w:asciiTheme="minorHAnsi" w:hAnsiTheme="minorHAnsi"/>
          <w:color w:val="auto"/>
          <w:sz w:val="24"/>
          <w:szCs w:val="24"/>
        </w:rPr>
        <w:t xml:space="preserve"> for multi-strategy portfolios</w:t>
      </w:r>
      <w:bookmarkEnd w:id="549"/>
      <w:bookmarkEnd w:id="550"/>
    </w:p>
    <w:p w14:paraId="3487EC92" w14:textId="77777777" w:rsidR="00CD78E9" w:rsidRPr="000B6239" w:rsidRDefault="00CD78E9" w:rsidP="00CD78E9">
      <w:pPr>
        <w:rPr>
          <w:rFonts w:cstheme="minorHAnsi"/>
          <w:sz w:val="24"/>
        </w:rPr>
      </w:pPr>
    </w:p>
    <w:p w14:paraId="5D8B7501" w14:textId="48D56AB4"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 xml:space="preserve">To the extent that a look-through is required for costs and charges information under MiFID II, we feel it appropriate for members to read across the proposed guidance from </w:t>
      </w:r>
      <w:r w:rsidR="00D2619C">
        <w:rPr>
          <w:rFonts w:asciiTheme="minorHAnsi" w:hAnsiTheme="minorHAnsi" w:cstheme="minorHAnsi"/>
          <w:szCs w:val="22"/>
        </w:rPr>
        <w:t>PS17/20</w:t>
      </w:r>
      <w:r w:rsidR="00A9028A">
        <w:rPr>
          <w:rStyle w:val="FootnoteReference"/>
          <w:rFonts w:asciiTheme="minorHAnsi" w:hAnsiTheme="minorHAnsi" w:cstheme="minorHAnsi"/>
          <w:szCs w:val="22"/>
        </w:rPr>
        <w:footnoteReference w:id="26"/>
      </w:r>
      <w:r w:rsidRPr="000368AA">
        <w:rPr>
          <w:rFonts w:asciiTheme="minorHAnsi" w:hAnsiTheme="minorHAnsi" w:cstheme="minorHAnsi"/>
          <w:szCs w:val="22"/>
        </w:rPr>
        <w:t xml:space="preserve"> COBS 19.8.8G(2) in relation to materiality.  </w:t>
      </w:r>
    </w:p>
    <w:p w14:paraId="4A148AA5" w14:textId="77777777" w:rsidR="00CD78E9" w:rsidRPr="000368AA" w:rsidRDefault="00CD78E9" w:rsidP="000368AA">
      <w:pPr>
        <w:jc w:val="both"/>
        <w:rPr>
          <w:rFonts w:asciiTheme="minorHAnsi" w:hAnsiTheme="minorHAnsi" w:cstheme="minorHAnsi"/>
          <w:szCs w:val="22"/>
        </w:rPr>
      </w:pPr>
    </w:p>
    <w:p w14:paraId="1117A945" w14:textId="3E6B5634" w:rsidR="00CD78E9" w:rsidRPr="000368AA" w:rsidRDefault="00CD78E9" w:rsidP="000368AA">
      <w:pPr>
        <w:jc w:val="both"/>
        <w:rPr>
          <w:rFonts w:asciiTheme="minorHAnsi" w:hAnsiTheme="minorHAnsi" w:cstheme="minorHAnsi"/>
          <w:i/>
          <w:szCs w:val="22"/>
        </w:rPr>
      </w:pPr>
      <w:r w:rsidRPr="000368AA">
        <w:rPr>
          <w:rFonts w:asciiTheme="minorHAnsi" w:hAnsiTheme="minorHAnsi" w:cstheme="minorHAnsi"/>
          <w:i/>
          <w:szCs w:val="22"/>
        </w:rPr>
        <w:t>“A firm, when seeking information about transaction costs or administration charges, should consider the materiality of that information to the calculation of costs and charges overall for each arrangement, in particular the degree to which it is necessary to look through to transactions in underlying investment</w:t>
      </w:r>
      <w:r w:rsidR="00D2619C">
        <w:rPr>
          <w:rFonts w:asciiTheme="minorHAnsi" w:hAnsiTheme="minorHAnsi" w:cstheme="minorHAnsi"/>
          <w:i/>
          <w:szCs w:val="22"/>
        </w:rPr>
        <w:t>s</w:t>
      </w:r>
      <w:r w:rsidRPr="000368AA">
        <w:rPr>
          <w:rFonts w:asciiTheme="minorHAnsi" w:hAnsiTheme="minorHAnsi" w:cstheme="minorHAnsi"/>
          <w:i/>
          <w:szCs w:val="22"/>
        </w:rPr>
        <w:t xml:space="preserve"> in order to arrive at a fair assessment of the costs or charges of each arrangement.</w:t>
      </w:r>
    </w:p>
    <w:p w14:paraId="53C580ED" w14:textId="77777777" w:rsidR="00CD78E9" w:rsidRPr="000368AA" w:rsidRDefault="00CD78E9" w:rsidP="000368AA">
      <w:pPr>
        <w:jc w:val="both"/>
        <w:rPr>
          <w:rFonts w:asciiTheme="minorHAnsi" w:hAnsiTheme="minorHAnsi" w:cstheme="minorHAnsi"/>
          <w:szCs w:val="22"/>
        </w:rPr>
      </w:pPr>
    </w:p>
    <w:p w14:paraId="5AEFDB2A" w14:textId="0B6352AA"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In doing so however, firm’s should be able to explain and evidence how they have assessed materiality and the basis on which (if applicable) a conclusion has been reached that costs and charges information was not material. Firms should consider where such an assessment has been made and it has been concluded that such costs and charges were not material to the particular situation that this should be included in the cost and charges disclosures in order to enable the investor to obtain more detailed information</w:t>
      </w:r>
      <w:r w:rsidR="00580A4F">
        <w:rPr>
          <w:rFonts w:asciiTheme="minorHAnsi" w:hAnsiTheme="minorHAnsi" w:cstheme="minorHAnsi"/>
          <w:szCs w:val="22"/>
        </w:rPr>
        <w:t>.</w:t>
      </w:r>
    </w:p>
    <w:p w14:paraId="3EB7B6A5" w14:textId="77777777" w:rsidR="00CD78E9" w:rsidRPr="000368AA" w:rsidRDefault="00CD78E9" w:rsidP="000368AA">
      <w:pPr>
        <w:jc w:val="both"/>
        <w:rPr>
          <w:rFonts w:asciiTheme="minorHAnsi" w:hAnsiTheme="minorHAnsi" w:cstheme="minorHAnsi"/>
          <w:szCs w:val="22"/>
        </w:rPr>
      </w:pPr>
    </w:p>
    <w:p w14:paraId="28E6B05C" w14:textId="7A867892"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 xml:space="preserve">Such an assessment could be based on the size of the </w:t>
      </w:r>
      <w:r w:rsidR="000368AA" w:rsidRPr="000368AA">
        <w:rPr>
          <w:rFonts w:asciiTheme="minorHAnsi" w:hAnsiTheme="minorHAnsi" w:cstheme="minorHAnsi"/>
          <w:szCs w:val="22"/>
        </w:rPr>
        <w:t>position</w:t>
      </w:r>
      <w:r w:rsidRPr="000368AA">
        <w:rPr>
          <w:rFonts w:asciiTheme="minorHAnsi" w:hAnsiTheme="minorHAnsi" w:cstheme="minorHAnsi"/>
          <w:szCs w:val="22"/>
        </w:rPr>
        <w:t xml:space="preserve"> within that portfolio, where for a holding that has a weight of less than </w:t>
      </w:r>
      <w:r w:rsidR="001A56D3">
        <w:rPr>
          <w:rFonts w:asciiTheme="minorHAnsi" w:hAnsiTheme="minorHAnsi" w:cstheme="minorHAnsi"/>
          <w:szCs w:val="22"/>
        </w:rPr>
        <w:t>0.4</w:t>
      </w:r>
      <w:r w:rsidRPr="000368AA">
        <w:rPr>
          <w:rFonts w:asciiTheme="minorHAnsi" w:hAnsiTheme="minorHAnsi" w:cstheme="minorHAnsi"/>
          <w:szCs w:val="22"/>
        </w:rPr>
        <w:t xml:space="preserve">% of the NAV, the average costs and charges of the remaining positions is be used as an approximation. The sum of these non-material positions </w:t>
      </w:r>
      <w:r w:rsidR="001A56D3">
        <w:rPr>
          <w:rFonts w:asciiTheme="minorHAnsi" w:hAnsiTheme="minorHAnsi" w:cstheme="minorHAnsi"/>
          <w:szCs w:val="22"/>
        </w:rPr>
        <w:t>should not in aggregate exceed 2</w:t>
      </w:r>
      <w:r w:rsidRPr="000368AA">
        <w:rPr>
          <w:rFonts w:asciiTheme="minorHAnsi" w:hAnsiTheme="minorHAnsi" w:cstheme="minorHAnsi"/>
          <w:szCs w:val="22"/>
        </w:rPr>
        <w:t xml:space="preserve">% of the NAV. </w:t>
      </w:r>
    </w:p>
    <w:p w14:paraId="350879C9" w14:textId="77777777" w:rsidR="00CD78E9" w:rsidRPr="000368AA" w:rsidRDefault="00CD78E9" w:rsidP="000368AA">
      <w:pPr>
        <w:jc w:val="both"/>
        <w:rPr>
          <w:rFonts w:asciiTheme="minorHAnsi" w:hAnsiTheme="minorHAnsi" w:cstheme="minorHAnsi"/>
          <w:szCs w:val="22"/>
        </w:rPr>
      </w:pPr>
    </w:p>
    <w:p w14:paraId="3542EEF8" w14:textId="13CC7293" w:rsidR="00CD78E9" w:rsidRPr="000368AA" w:rsidRDefault="00CD78E9" w:rsidP="000368AA">
      <w:pPr>
        <w:jc w:val="both"/>
        <w:rPr>
          <w:rFonts w:cstheme="minorHAnsi"/>
          <w:szCs w:val="22"/>
        </w:rPr>
      </w:pPr>
      <w:r w:rsidRPr="000368AA">
        <w:rPr>
          <w:rFonts w:asciiTheme="minorHAnsi" w:hAnsiTheme="minorHAnsi" w:cstheme="minorHAnsi"/>
          <w:szCs w:val="22"/>
        </w:rPr>
        <w:t xml:space="preserve">Please note the materiality threshold has only been considered in the context of </w:t>
      </w:r>
      <w:r w:rsidR="001A5CD0">
        <w:rPr>
          <w:rFonts w:asciiTheme="minorHAnsi" w:hAnsiTheme="minorHAnsi" w:cstheme="minorHAnsi"/>
          <w:szCs w:val="22"/>
        </w:rPr>
        <w:t xml:space="preserve">strategies </w:t>
      </w:r>
      <w:r w:rsidRPr="000368AA">
        <w:rPr>
          <w:rFonts w:asciiTheme="minorHAnsi" w:hAnsiTheme="minorHAnsi" w:cstheme="minorHAnsi"/>
          <w:szCs w:val="22"/>
        </w:rPr>
        <w:t xml:space="preserve">that </w:t>
      </w:r>
      <w:r w:rsidR="001A5CD0">
        <w:rPr>
          <w:rFonts w:asciiTheme="minorHAnsi" w:hAnsiTheme="minorHAnsi" w:cstheme="minorHAnsi"/>
          <w:szCs w:val="22"/>
        </w:rPr>
        <w:t xml:space="preserve">require a </w:t>
      </w:r>
      <w:r w:rsidRPr="000368AA">
        <w:rPr>
          <w:rFonts w:asciiTheme="minorHAnsi" w:hAnsiTheme="minorHAnsi" w:cstheme="minorHAnsi"/>
          <w:szCs w:val="22"/>
        </w:rPr>
        <w:t>look through to underlying investments to obtain cost and charges information. Any materiality thresholds and guidance at a security level for transaction costs is being considered as part of the implicit transaction costs analysis being conducted by the I</w:t>
      </w:r>
      <w:r w:rsidR="005C0345">
        <w:rPr>
          <w:rFonts w:asciiTheme="minorHAnsi" w:hAnsiTheme="minorHAnsi" w:cstheme="minorHAnsi"/>
          <w:szCs w:val="22"/>
        </w:rPr>
        <w:t>nvestment Association</w:t>
      </w:r>
      <w:r w:rsidR="00DD7382">
        <w:rPr>
          <w:rFonts w:asciiTheme="minorHAnsi" w:hAnsiTheme="minorHAnsi" w:cstheme="minorHAnsi"/>
          <w:szCs w:val="22"/>
        </w:rPr>
        <w:t>.</w:t>
      </w:r>
      <w:r w:rsidRPr="000368AA">
        <w:rPr>
          <w:rFonts w:cstheme="minorHAnsi"/>
          <w:szCs w:val="22"/>
        </w:rPr>
        <w:br w:type="page"/>
      </w:r>
    </w:p>
    <w:p w14:paraId="7899B64C" w14:textId="36D6E86D" w:rsidR="00CD78E9" w:rsidRPr="003913EF" w:rsidRDefault="00CD78E9" w:rsidP="004E65EB">
      <w:pPr>
        <w:pStyle w:val="Heading3"/>
        <w:ind w:left="709"/>
        <w:rPr>
          <w:rFonts w:asciiTheme="minorHAnsi" w:hAnsiTheme="minorHAnsi" w:cstheme="minorHAnsi"/>
          <w:color w:val="auto"/>
          <w:sz w:val="24"/>
          <w:szCs w:val="24"/>
        </w:rPr>
      </w:pPr>
      <w:bookmarkStart w:id="551" w:name="_Toc395871070"/>
      <w:bookmarkStart w:id="552" w:name="_Toc409468237"/>
      <w:r w:rsidRPr="003913EF">
        <w:rPr>
          <w:rFonts w:asciiTheme="minorHAnsi" w:hAnsiTheme="minorHAnsi" w:cstheme="minorHAnsi"/>
          <w:color w:val="auto"/>
          <w:sz w:val="24"/>
          <w:szCs w:val="24"/>
        </w:rPr>
        <w:lastRenderedPageBreak/>
        <w:t xml:space="preserve">What do we do in the case of non-EEA funds </w:t>
      </w:r>
      <w:r w:rsidR="004C1176" w:rsidRPr="003913EF">
        <w:rPr>
          <w:rFonts w:asciiTheme="minorHAnsi" w:hAnsiTheme="minorHAnsi" w:cstheme="minorHAnsi"/>
          <w:color w:val="auto"/>
          <w:sz w:val="24"/>
          <w:szCs w:val="24"/>
        </w:rPr>
        <w:t>that</w:t>
      </w:r>
      <w:r w:rsidRPr="003913EF">
        <w:rPr>
          <w:rFonts w:asciiTheme="minorHAnsi" w:hAnsiTheme="minorHAnsi" w:cstheme="minorHAnsi"/>
          <w:color w:val="auto"/>
          <w:sz w:val="24"/>
          <w:szCs w:val="24"/>
        </w:rPr>
        <w:t xml:space="preserve"> are not obligated to provide MiFID compliant data?</w:t>
      </w:r>
      <w:bookmarkEnd w:id="551"/>
      <w:bookmarkEnd w:id="552"/>
    </w:p>
    <w:p w14:paraId="3BF372C0" w14:textId="77777777" w:rsidR="00CD78E9" w:rsidRPr="00290BE6" w:rsidRDefault="00CD78E9" w:rsidP="00CD78E9">
      <w:pPr>
        <w:rPr>
          <w:rFonts w:asciiTheme="minorHAnsi" w:hAnsiTheme="minorHAnsi" w:cstheme="minorHAnsi"/>
          <w:sz w:val="24"/>
        </w:rPr>
      </w:pPr>
    </w:p>
    <w:p w14:paraId="05861462" w14:textId="0DF4FB1A"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 xml:space="preserve">TISA recognises that where third party investments are made, not all of the underlying managers may be bound by MiFID II such as US or Asian Fund Managers. In this situation Investment Firms should seek to obtain </w:t>
      </w:r>
      <w:r w:rsidR="001276E4">
        <w:rPr>
          <w:rFonts w:asciiTheme="minorHAnsi" w:hAnsiTheme="minorHAnsi" w:cstheme="minorHAnsi"/>
          <w:szCs w:val="22"/>
        </w:rPr>
        <w:t xml:space="preserve">appropriate </w:t>
      </w:r>
      <w:r w:rsidRPr="000368AA">
        <w:rPr>
          <w:rFonts w:asciiTheme="minorHAnsi" w:hAnsiTheme="minorHAnsi" w:cstheme="minorHAnsi"/>
          <w:szCs w:val="22"/>
        </w:rPr>
        <w:t>cost</w:t>
      </w:r>
      <w:r w:rsidR="001276E4">
        <w:rPr>
          <w:rFonts w:asciiTheme="minorHAnsi" w:hAnsiTheme="minorHAnsi" w:cstheme="minorHAnsi"/>
          <w:szCs w:val="22"/>
        </w:rPr>
        <w:t xml:space="preserve"> information</w:t>
      </w:r>
      <w:r w:rsidRPr="000368AA">
        <w:rPr>
          <w:rFonts w:asciiTheme="minorHAnsi" w:hAnsiTheme="minorHAnsi" w:cstheme="minorHAnsi"/>
          <w:szCs w:val="22"/>
        </w:rPr>
        <w:t xml:space="preserve"> from all MIFID and non</w:t>
      </w:r>
      <w:r w:rsidR="003566C9">
        <w:rPr>
          <w:rFonts w:asciiTheme="minorHAnsi" w:hAnsiTheme="minorHAnsi" w:cstheme="minorHAnsi"/>
          <w:szCs w:val="22"/>
        </w:rPr>
        <w:t>-</w:t>
      </w:r>
      <w:r w:rsidRPr="000368AA">
        <w:rPr>
          <w:rFonts w:asciiTheme="minorHAnsi" w:hAnsiTheme="minorHAnsi" w:cstheme="minorHAnsi"/>
          <w:szCs w:val="22"/>
        </w:rPr>
        <w:t xml:space="preserve">MIFID </w:t>
      </w:r>
      <w:r w:rsidR="00CD2461">
        <w:rPr>
          <w:rFonts w:asciiTheme="minorHAnsi" w:hAnsiTheme="minorHAnsi" w:cstheme="minorHAnsi"/>
          <w:szCs w:val="22"/>
        </w:rPr>
        <w:t>F</w:t>
      </w:r>
      <w:r w:rsidRPr="000368AA">
        <w:rPr>
          <w:rFonts w:asciiTheme="minorHAnsi" w:hAnsiTheme="minorHAnsi" w:cstheme="minorHAnsi"/>
          <w:szCs w:val="22"/>
        </w:rPr>
        <w:t xml:space="preserve">und </w:t>
      </w:r>
      <w:r w:rsidR="00CD2461">
        <w:rPr>
          <w:rFonts w:asciiTheme="minorHAnsi" w:hAnsiTheme="minorHAnsi" w:cstheme="minorHAnsi"/>
          <w:szCs w:val="22"/>
        </w:rPr>
        <w:t>M</w:t>
      </w:r>
      <w:r w:rsidRPr="000368AA">
        <w:rPr>
          <w:rFonts w:asciiTheme="minorHAnsi" w:hAnsiTheme="minorHAnsi" w:cstheme="minorHAnsi"/>
          <w:szCs w:val="22"/>
        </w:rPr>
        <w:t>anufacturers.</w:t>
      </w:r>
    </w:p>
    <w:p w14:paraId="03C8A4E9" w14:textId="77777777" w:rsidR="00CD78E9" w:rsidRPr="000368AA" w:rsidRDefault="00CD78E9" w:rsidP="000368AA">
      <w:pPr>
        <w:jc w:val="both"/>
        <w:rPr>
          <w:rFonts w:asciiTheme="minorHAnsi" w:hAnsiTheme="minorHAnsi" w:cstheme="minorHAnsi"/>
          <w:szCs w:val="22"/>
        </w:rPr>
      </w:pPr>
    </w:p>
    <w:p w14:paraId="436B1FB0" w14:textId="6921BD9B"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Where investment firms only receive an all</w:t>
      </w:r>
      <w:r w:rsidR="003566C9">
        <w:rPr>
          <w:rFonts w:asciiTheme="minorHAnsi" w:hAnsiTheme="minorHAnsi" w:cstheme="minorHAnsi"/>
          <w:szCs w:val="22"/>
        </w:rPr>
        <w:t>-</w:t>
      </w:r>
      <w:r w:rsidRPr="000368AA">
        <w:rPr>
          <w:rFonts w:asciiTheme="minorHAnsi" w:hAnsiTheme="minorHAnsi" w:cstheme="minorHAnsi"/>
          <w:szCs w:val="22"/>
        </w:rPr>
        <w:t xml:space="preserve">in cost </w:t>
      </w:r>
      <w:r w:rsidR="001276E4">
        <w:rPr>
          <w:rFonts w:asciiTheme="minorHAnsi" w:hAnsiTheme="minorHAnsi" w:cstheme="minorHAnsi"/>
          <w:szCs w:val="22"/>
        </w:rPr>
        <w:t>indicator</w:t>
      </w:r>
      <w:r w:rsidRPr="000368AA">
        <w:rPr>
          <w:rFonts w:asciiTheme="minorHAnsi" w:hAnsiTheme="minorHAnsi" w:cstheme="minorHAnsi"/>
          <w:szCs w:val="22"/>
        </w:rPr>
        <w:t xml:space="preserve">, the investment firm should confirm with the third party manager whether this figure includes transaction costs and adheres to the methodology prescribed by MiFID II. If this figure excludes transaction costs firms should request these are provided separately, make an assessment of materiality as mentioned in the previous section or make a reasonable estimate of this cost and disclose any assumptions. </w:t>
      </w:r>
    </w:p>
    <w:p w14:paraId="7FAB80BF" w14:textId="77777777" w:rsidR="00CD78E9" w:rsidRPr="000368AA" w:rsidRDefault="00CD78E9" w:rsidP="000368AA">
      <w:pPr>
        <w:jc w:val="both"/>
        <w:rPr>
          <w:rFonts w:asciiTheme="minorHAnsi" w:hAnsiTheme="minorHAnsi" w:cstheme="minorHAnsi"/>
          <w:szCs w:val="22"/>
        </w:rPr>
      </w:pPr>
    </w:p>
    <w:p w14:paraId="7177091C" w14:textId="738976E7" w:rsidR="00CD78E9" w:rsidRPr="000368AA" w:rsidRDefault="00CD78E9" w:rsidP="000368AA">
      <w:pPr>
        <w:tabs>
          <w:tab w:val="center" w:pos="4513"/>
        </w:tabs>
        <w:jc w:val="both"/>
        <w:rPr>
          <w:rFonts w:asciiTheme="minorHAnsi" w:hAnsiTheme="minorHAnsi" w:cstheme="minorHAnsi"/>
          <w:szCs w:val="22"/>
        </w:rPr>
      </w:pPr>
      <w:r w:rsidRPr="000368AA">
        <w:rPr>
          <w:rFonts w:asciiTheme="minorHAnsi" w:hAnsiTheme="minorHAnsi" w:cstheme="minorHAnsi"/>
          <w:szCs w:val="22"/>
        </w:rPr>
        <w:t xml:space="preserve">Question 11 of the ESMA </w:t>
      </w:r>
      <w:r w:rsidR="00B20A6E">
        <w:rPr>
          <w:rFonts w:asciiTheme="minorHAnsi" w:hAnsiTheme="minorHAnsi" w:cstheme="minorHAnsi"/>
          <w:szCs w:val="22"/>
        </w:rPr>
        <w:t xml:space="preserve">Investor Protection </w:t>
      </w:r>
      <w:r w:rsidRPr="000368AA">
        <w:rPr>
          <w:rFonts w:asciiTheme="minorHAnsi" w:hAnsiTheme="minorHAnsi" w:cstheme="minorHAnsi"/>
          <w:szCs w:val="22"/>
        </w:rPr>
        <w:t xml:space="preserve">Q&amp;A supports this guidance what an investment firm should do when they are unable to obtain the relevant data from the </w:t>
      </w:r>
      <w:r w:rsidR="00CD2461">
        <w:rPr>
          <w:rFonts w:asciiTheme="minorHAnsi" w:hAnsiTheme="minorHAnsi" w:cstheme="minorHAnsi"/>
          <w:szCs w:val="22"/>
        </w:rPr>
        <w:t>M</w:t>
      </w:r>
      <w:r w:rsidRPr="000368AA">
        <w:rPr>
          <w:rFonts w:asciiTheme="minorHAnsi" w:hAnsiTheme="minorHAnsi" w:cstheme="minorHAnsi"/>
          <w:szCs w:val="22"/>
        </w:rPr>
        <w:t>anufacturer.</w:t>
      </w:r>
    </w:p>
    <w:p w14:paraId="7EA55C66" w14:textId="77777777" w:rsidR="00CD78E9" w:rsidRPr="000368AA" w:rsidRDefault="00CD78E9" w:rsidP="000368AA">
      <w:pPr>
        <w:jc w:val="both"/>
        <w:rPr>
          <w:rFonts w:asciiTheme="minorHAnsi" w:hAnsiTheme="minorHAnsi" w:cstheme="minorHAnsi"/>
          <w:szCs w:val="22"/>
        </w:rPr>
      </w:pPr>
    </w:p>
    <w:p w14:paraId="28D69E2E" w14:textId="6CC2797B" w:rsidR="00CD78E9" w:rsidRPr="000368AA" w:rsidRDefault="00CD78E9" w:rsidP="000368AA">
      <w:pPr>
        <w:jc w:val="both"/>
        <w:rPr>
          <w:rFonts w:asciiTheme="minorHAnsi" w:hAnsiTheme="minorHAnsi" w:cstheme="minorHAnsi"/>
          <w:i/>
          <w:szCs w:val="22"/>
        </w:rPr>
      </w:pPr>
      <w:r w:rsidRPr="000368AA">
        <w:rPr>
          <w:rFonts w:asciiTheme="minorHAnsi" w:hAnsiTheme="minorHAnsi" w:cstheme="minorHAnsi"/>
          <w:i/>
          <w:szCs w:val="22"/>
        </w:rPr>
        <w:t>“When the investment firm is not able to obtain the relevant data from the manufacturer, the investment firm should first assess whether it can provide its clients with adequate information on the total costs and charges of the financial instrument and the investment service. ESMA would expect investment firms to base these calculations on the methodology prescribed in the PRIIPs RTS</w:t>
      </w:r>
      <w:r w:rsidR="00DD7382">
        <w:rPr>
          <w:rStyle w:val="FootnoteReference"/>
          <w:rFonts w:asciiTheme="minorHAnsi" w:hAnsiTheme="minorHAnsi" w:cstheme="minorHAnsi"/>
          <w:i/>
          <w:szCs w:val="22"/>
        </w:rPr>
        <w:footnoteReference w:id="27"/>
      </w:r>
      <w:r w:rsidRPr="000368AA">
        <w:rPr>
          <w:rFonts w:asciiTheme="minorHAnsi" w:hAnsiTheme="minorHAnsi" w:cstheme="minorHAnsi"/>
          <w:i/>
          <w:szCs w:val="22"/>
        </w:rPr>
        <w:t>. It is essential that the investment firm has assured itself that it can make a reasonable and sufficiently accurate estimate of the total costs of the financial instrument. If this is the case, an investment firm may use this estimate to calculate the ex-ante and ex-post figures on costs and charges.”</w:t>
      </w:r>
    </w:p>
    <w:p w14:paraId="4C7F1E8E" w14:textId="77777777" w:rsidR="00CD78E9" w:rsidRPr="00290BE6" w:rsidRDefault="00CD78E9" w:rsidP="00CD78E9">
      <w:pPr>
        <w:rPr>
          <w:rFonts w:asciiTheme="minorHAnsi" w:hAnsiTheme="minorHAnsi" w:cstheme="minorHAnsi"/>
          <w:i/>
          <w:sz w:val="24"/>
        </w:rPr>
      </w:pPr>
    </w:p>
    <w:p w14:paraId="43C4113E" w14:textId="77777777" w:rsidR="00CD78E9" w:rsidRDefault="00CD78E9" w:rsidP="00CD78E9">
      <w:pPr>
        <w:rPr>
          <w:rFonts w:cstheme="minorHAnsi"/>
          <w:i/>
          <w:sz w:val="24"/>
        </w:rPr>
      </w:pPr>
    </w:p>
    <w:p w14:paraId="0020F85B" w14:textId="77777777" w:rsidR="00863E69" w:rsidRDefault="00863E69" w:rsidP="00CD78E9">
      <w:pPr>
        <w:rPr>
          <w:rFonts w:cstheme="minorHAnsi"/>
          <w:b/>
          <w:sz w:val="24"/>
        </w:rPr>
      </w:pPr>
    </w:p>
    <w:p w14:paraId="6B292DD4" w14:textId="302B0F47" w:rsidR="00863E69" w:rsidRDefault="00863E69" w:rsidP="00CD78E9">
      <w:pPr>
        <w:rPr>
          <w:rFonts w:cstheme="minorHAnsi"/>
          <w:b/>
          <w:sz w:val="24"/>
        </w:rPr>
      </w:pPr>
    </w:p>
    <w:p w14:paraId="39163F45" w14:textId="13C8C683" w:rsidR="00863E69" w:rsidRDefault="00863E69" w:rsidP="00CD78E9">
      <w:pPr>
        <w:rPr>
          <w:rFonts w:cstheme="minorHAnsi"/>
          <w:b/>
          <w:sz w:val="24"/>
        </w:rPr>
      </w:pPr>
    </w:p>
    <w:p w14:paraId="3D9A4403" w14:textId="77777777" w:rsidR="00863E69" w:rsidRDefault="00863E69" w:rsidP="00CD78E9">
      <w:pPr>
        <w:rPr>
          <w:rFonts w:cstheme="minorHAnsi"/>
          <w:b/>
          <w:sz w:val="24"/>
        </w:rPr>
      </w:pPr>
    </w:p>
    <w:p w14:paraId="2585FC74" w14:textId="69FF7993" w:rsidR="00863E69" w:rsidRDefault="00863E69" w:rsidP="00CD78E9">
      <w:pPr>
        <w:rPr>
          <w:rFonts w:cstheme="minorHAnsi"/>
          <w:b/>
          <w:sz w:val="24"/>
        </w:rPr>
      </w:pPr>
    </w:p>
    <w:p w14:paraId="2032C56F" w14:textId="77777777" w:rsidR="00863E69" w:rsidRDefault="00863E69" w:rsidP="00CD78E9">
      <w:pPr>
        <w:rPr>
          <w:rFonts w:cstheme="minorHAnsi"/>
          <w:b/>
          <w:sz w:val="24"/>
        </w:rPr>
      </w:pPr>
    </w:p>
    <w:p w14:paraId="2979603A" w14:textId="77777777" w:rsidR="0046612C" w:rsidRDefault="0046612C">
      <w:pPr>
        <w:spacing w:after="160" w:line="259" w:lineRule="auto"/>
        <w:ind w:left="0"/>
        <w:rPr>
          <w:rFonts w:cstheme="minorHAnsi"/>
          <w:b/>
          <w:sz w:val="24"/>
        </w:rPr>
      </w:pPr>
    </w:p>
    <w:p w14:paraId="45C979B1" w14:textId="40EDDE37" w:rsidR="0046612C" w:rsidRDefault="00580A4F">
      <w:pPr>
        <w:spacing w:after="160" w:line="259" w:lineRule="auto"/>
        <w:ind w:left="0"/>
        <w:rPr>
          <w:rFonts w:asciiTheme="minorHAnsi" w:eastAsiaTheme="majorEastAsia" w:hAnsiTheme="minorHAnsi" w:cstheme="majorBidi"/>
          <w:b/>
          <w:bCs/>
          <w:sz w:val="24"/>
          <w:szCs w:val="24"/>
        </w:rPr>
      </w:pPr>
      <w:bookmarkStart w:id="553" w:name="_Toc364001913"/>
      <w:r>
        <w:rPr>
          <w:rFonts w:asciiTheme="minorHAnsi" w:hAnsiTheme="minorHAnsi"/>
          <w:b/>
          <w:sz w:val="24"/>
          <w:szCs w:val="24"/>
        </w:rPr>
        <w:br w:type="page"/>
      </w:r>
    </w:p>
    <w:p w14:paraId="5D950A22" w14:textId="72E13C0B" w:rsidR="00CD78E9" w:rsidRPr="00290BE6" w:rsidRDefault="00CD78E9" w:rsidP="004E65EB">
      <w:pPr>
        <w:pStyle w:val="Heading3"/>
        <w:ind w:left="709"/>
        <w:rPr>
          <w:rFonts w:asciiTheme="minorHAnsi" w:hAnsiTheme="minorHAnsi"/>
          <w:color w:val="auto"/>
          <w:sz w:val="24"/>
          <w:szCs w:val="24"/>
        </w:rPr>
      </w:pPr>
      <w:bookmarkStart w:id="554" w:name="_Toc364343165"/>
      <w:bookmarkStart w:id="555" w:name="_Toc364343351"/>
      <w:bookmarkStart w:id="556" w:name="_Toc364343710"/>
      <w:bookmarkStart w:id="557" w:name="_Toc364635775"/>
      <w:bookmarkStart w:id="558" w:name="_Toc364636167"/>
      <w:bookmarkStart w:id="559" w:name="_Toc364636603"/>
      <w:bookmarkStart w:id="560" w:name="_Toc366502097"/>
      <w:bookmarkStart w:id="561" w:name="_Toc369907878"/>
      <w:bookmarkStart w:id="562" w:name="_Toc370052395"/>
      <w:bookmarkStart w:id="563" w:name="_Toc372234543"/>
      <w:bookmarkStart w:id="564" w:name="_Toc395871071"/>
      <w:bookmarkStart w:id="565" w:name="_Toc409468238"/>
      <w:r w:rsidRPr="00290BE6">
        <w:rPr>
          <w:rFonts w:asciiTheme="minorHAnsi" w:hAnsiTheme="minorHAnsi"/>
          <w:color w:val="auto"/>
          <w:sz w:val="24"/>
          <w:szCs w:val="24"/>
        </w:rPr>
        <w:lastRenderedPageBreak/>
        <w:t>Cumulative Effect of cost and charges on return</w:t>
      </w:r>
      <w:bookmarkEnd w:id="553"/>
      <w:bookmarkEnd w:id="554"/>
      <w:bookmarkEnd w:id="555"/>
      <w:bookmarkEnd w:id="556"/>
      <w:bookmarkEnd w:id="557"/>
      <w:bookmarkEnd w:id="558"/>
      <w:bookmarkEnd w:id="559"/>
      <w:bookmarkEnd w:id="560"/>
      <w:bookmarkEnd w:id="561"/>
      <w:bookmarkEnd w:id="562"/>
      <w:bookmarkEnd w:id="563"/>
      <w:bookmarkEnd w:id="564"/>
      <w:bookmarkEnd w:id="565"/>
    </w:p>
    <w:p w14:paraId="39B2934B" w14:textId="77777777" w:rsidR="00CD78E9" w:rsidRPr="000B794F" w:rsidRDefault="00CD78E9" w:rsidP="00CD78E9">
      <w:pPr>
        <w:rPr>
          <w:rFonts w:cstheme="minorHAnsi"/>
          <w:sz w:val="24"/>
        </w:rPr>
      </w:pPr>
    </w:p>
    <w:p w14:paraId="12C96F07" w14:textId="65703F40"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 xml:space="preserve">Investment firms shall provide their clients with an illustration showing the cumulative effect of costs on return when providing investment services. On an </w:t>
      </w:r>
      <w:r w:rsidR="00DD7382">
        <w:rPr>
          <w:rFonts w:asciiTheme="minorHAnsi" w:hAnsiTheme="minorHAnsi" w:cstheme="minorHAnsi"/>
          <w:szCs w:val="22"/>
        </w:rPr>
        <w:t>Ex-P</w:t>
      </w:r>
      <w:r w:rsidRPr="000368AA">
        <w:rPr>
          <w:rFonts w:asciiTheme="minorHAnsi" w:hAnsiTheme="minorHAnsi" w:cstheme="minorHAnsi"/>
          <w:szCs w:val="22"/>
        </w:rPr>
        <w:t xml:space="preserve">ost basis this should be the actual realised net return compared </w:t>
      </w:r>
      <w:r w:rsidR="00464954">
        <w:rPr>
          <w:rFonts w:asciiTheme="minorHAnsi" w:hAnsiTheme="minorHAnsi" w:cstheme="minorHAnsi"/>
          <w:szCs w:val="22"/>
        </w:rPr>
        <w:t xml:space="preserve">to </w:t>
      </w:r>
      <w:r w:rsidRPr="000368AA">
        <w:rPr>
          <w:rFonts w:asciiTheme="minorHAnsi" w:hAnsiTheme="minorHAnsi" w:cstheme="minorHAnsi"/>
          <w:szCs w:val="22"/>
        </w:rPr>
        <w:t>the return before the deduction of fees. The illustration can take the form of a graph, table or narrative and should meet the following requirements;</w:t>
      </w:r>
    </w:p>
    <w:p w14:paraId="54B51DA8" w14:textId="77777777" w:rsidR="00CD78E9" w:rsidRPr="000368AA" w:rsidRDefault="00CD78E9" w:rsidP="000368AA">
      <w:pPr>
        <w:jc w:val="both"/>
        <w:rPr>
          <w:rFonts w:asciiTheme="minorHAnsi" w:hAnsiTheme="minorHAnsi" w:cstheme="minorHAnsi"/>
          <w:szCs w:val="22"/>
        </w:rPr>
      </w:pPr>
    </w:p>
    <w:p w14:paraId="433FA620" w14:textId="16AF9064"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 xml:space="preserve">(a) </w:t>
      </w:r>
      <w:r w:rsidR="001F5422" w:rsidRPr="000368AA">
        <w:rPr>
          <w:rFonts w:asciiTheme="minorHAnsi" w:hAnsiTheme="minorHAnsi" w:cstheme="minorHAnsi"/>
          <w:szCs w:val="22"/>
        </w:rPr>
        <w:t>The</w:t>
      </w:r>
      <w:r w:rsidRPr="000368AA">
        <w:rPr>
          <w:rFonts w:asciiTheme="minorHAnsi" w:hAnsiTheme="minorHAnsi" w:cstheme="minorHAnsi"/>
          <w:szCs w:val="22"/>
        </w:rPr>
        <w:t xml:space="preserve"> illustration shows the effect of the overall costs and charges on the return of the investment</w:t>
      </w:r>
      <w:proofErr w:type="gramStart"/>
      <w:r w:rsidRPr="000368AA">
        <w:rPr>
          <w:rFonts w:asciiTheme="minorHAnsi" w:hAnsiTheme="minorHAnsi" w:cstheme="minorHAnsi"/>
          <w:szCs w:val="22"/>
        </w:rPr>
        <w:t>;</w:t>
      </w:r>
      <w:proofErr w:type="gramEnd"/>
    </w:p>
    <w:p w14:paraId="7BD4E945" w14:textId="68431070"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 xml:space="preserve">(b) </w:t>
      </w:r>
      <w:r w:rsidR="001F5422" w:rsidRPr="000368AA">
        <w:rPr>
          <w:rFonts w:asciiTheme="minorHAnsi" w:hAnsiTheme="minorHAnsi" w:cstheme="minorHAnsi"/>
          <w:szCs w:val="22"/>
        </w:rPr>
        <w:t>The</w:t>
      </w:r>
      <w:r w:rsidRPr="000368AA">
        <w:rPr>
          <w:rFonts w:asciiTheme="minorHAnsi" w:hAnsiTheme="minorHAnsi" w:cstheme="minorHAnsi"/>
          <w:szCs w:val="22"/>
        </w:rPr>
        <w:t xml:space="preserve"> illustration shows any anticipated spikes or fluctuations in the costs; and</w:t>
      </w:r>
    </w:p>
    <w:p w14:paraId="3205FF7E" w14:textId="6FDA76CB"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 xml:space="preserve">(c) </w:t>
      </w:r>
      <w:r w:rsidR="001F5422" w:rsidRPr="000368AA">
        <w:rPr>
          <w:rFonts w:asciiTheme="minorHAnsi" w:hAnsiTheme="minorHAnsi" w:cstheme="minorHAnsi"/>
          <w:szCs w:val="22"/>
        </w:rPr>
        <w:t>The</w:t>
      </w:r>
      <w:r w:rsidRPr="000368AA">
        <w:rPr>
          <w:rFonts w:asciiTheme="minorHAnsi" w:hAnsiTheme="minorHAnsi" w:cstheme="minorHAnsi"/>
          <w:szCs w:val="22"/>
        </w:rPr>
        <w:t xml:space="preserve"> illustration is accompanied by a description of the illustration.</w:t>
      </w:r>
    </w:p>
    <w:p w14:paraId="2B274F54" w14:textId="77777777" w:rsidR="00CD78E9" w:rsidRPr="000368AA" w:rsidRDefault="00CD78E9" w:rsidP="000368AA">
      <w:pPr>
        <w:jc w:val="both"/>
        <w:rPr>
          <w:rFonts w:asciiTheme="minorHAnsi" w:hAnsiTheme="minorHAnsi" w:cstheme="minorHAnsi"/>
          <w:b/>
          <w:i/>
          <w:szCs w:val="22"/>
        </w:rPr>
      </w:pPr>
    </w:p>
    <w:p w14:paraId="1E1B1918" w14:textId="77777777"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Investment firms could use a table such as the below to illustrate the effect cost and charges have on return.</w:t>
      </w:r>
    </w:p>
    <w:p w14:paraId="109E5D74" w14:textId="77777777" w:rsidR="00CD78E9" w:rsidRPr="00290BE6" w:rsidRDefault="00CD78E9" w:rsidP="00CD78E9">
      <w:pPr>
        <w:rPr>
          <w:rFonts w:asciiTheme="minorHAnsi" w:hAnsiTheme="minorHAnsi" w:cstheme="minorHAnsi"/>
          <w:sz w:val="24"/>
        </w:rPr>
      </w:pPr>
    </w:p>
    <w:tbl>
      <w:tblPr>
        <w:tblW w:w="8789" w:type="dxa"/>
        <w:tblInd w:w="108" w:type="dxa"/>
        <w:tblLook w:val="04A0" w:firstRow="1" w:lastRow="0" w:firstColumn="1" w:lastColumn="0" w:noHBand="0" w:noVBand="1"/>
      </w:tblPr>
      <w:tblGrid>
        <w:gridCol w:w="5245"/>
        <w:gridCol w:w="1963"/>
        <w:gridCol w:w="1701"/>
      </w:tblGrid>
      <w:tr w:rsidR="00CD78E9" w:rsidRPr="00290BE6" w14:paraId="0E92B612" w14:textId="77777777" w:rsidTr="006F3EFC">
        <w:trPr>
          <w:trHeight w:val="600"/>
        </w:trPr>
        <w:tc>
          <w:tcPr>
            <w:tcW w:w="7088" w:type="dxa"/>
            <w:gridSpan w:val="2"/>
            <w:tcBorders>
              <w:top w:val="nil"/>
              <w:left w:val="nil"/>
              <w:bottom w:val="nil"/>
              <w:right w:val="nil"/>
            </w:tcBorders>
            <w:shd w:val="clear" w:color="auto" w:fill="auto"/>
            <w:noWrap/>
            <w:vAlign w:val="bottom"/>
            <w:hideMark/>
          </w:tcPr>
          <w:p w14:paraId="2673D34E" w14:textId="77777777" w:rsidR="00CD78E9" w:rsidRPr="00290BE6" w:rsidRDefault="00CD78E9" w:rsidP="006F3EFC">
            <w:pPr>
              <w:rPr>
                <w:rFonts w:asciiTheme="minorHAnsi" w:hAnsiTheme="minorHAnsi" w:cs="Calibri"/>
                <w:b/>
                <w:color w:val="000000"/>
                <w:lang w:eastAsia="en-GB"/>
              </w:rPr>
            </w:pPr>
            <w:r w:rsidRPr="00290BE6">
              <w:rPr>
                <w:rFonts w:asciiTheme="minorHAnsi" w:hAnsiTheme="minorHAnsi" w:cs="Calibri"/>
                <w:b/>
                <w:color w:val="000000"/>
                <w:lang w:eastAsia="en-GB"/>
              </w:rPr>
              <w:t>Cumulative effect of cost and charges on return of investment</w:t>
            </w:r>
          </w:p>
          <w:p w14:paraId="447E1899" w14:textId="77777777" w:rsidR="00CD78E9" w:rsidRPr="00290BE6" w:rsidRDefault="00CD78E9" w:rsidP="006F3EFC">
            <w:pPr>
              <w:rPr>
                <w:rFonts w:asciiTheme="minorHAnsi" w:hAnsiTheme="minorHAnsi" w:cs="Calibri"/>
                <w:b/>
                <w:color w:val="000000"/>
                <w:lang w:eastAsia="en-GB"/>
              </w:rPr>
            </w:pPr>
          </w:p>
        </w:tc>
        <w:tc>
          <w:tcPr>
            <w:tcW w:w="1701" w:type="dxa"/>
            <w:tcBorders>
              <w:top w:val="nil"/>
              <w:left w:val="nil"/>
              <w:bottom w:val="nil"/>
              <w:right w:val="nil"/>
            </w:tcBorders>
            <w:shd w:val="clear" w:color="auto" w:fill="auto"/>
            <w:vAlign w:val="bottom"/>
            <w:hideMark/>
          </w:tcPr>
          <w:p w14:paraId="34828770" w14:textId="77777777" w:rsidR="00CD78E9" w:rsidRPr="00290BE6" w:rsidRDefault="00CD78E9" w:rsidP="006F3EFC">
            <w:pPr>
              <w:rPr>
                <w:rFonts w:asciiTheme="minorHAnsi" w:hAnsiTheme="minorHAnsi" w:cs="Calibri"/>
                <w:color w:val="000000"/>
                <w:lang w:eastAsia="en-GB"/>
              </w:rPr>
            </w:pPr>
          </w:p>
        </w:tc>
      </w:tr>
      <w:tr w:rsidR="00CD78E9" w:rsidRPr="00290BE6" w14:paraId="19E532FB" w14:textId="77777777" w:rsidTr="006F3EFC">
        <w:trPr>
          <w:trHeight w:val="300"/>
        </w:trPr>
        <w:tc>
          <w:tcPr>
            <w:tcW w:w="5245" w:type="dxa"/>
            <w:tcBorders>
              <w:top w:val="nil"/>
              <w:left w:val="nil"/>
              <w:bottom w:val="nil"/>
              <w:right w:val="nil"/>
            </w:tcBorders>
            <w:shd w:val="clear" w:color="auto" w:fill="auto"/>
            <w:noWrap/>
            <w:vAlign w:val="bottom"/>
            <w:hideMark/>
          </w:tcPr>
          <w:p w14:paraId="2D5F96F9" w14:textId="77777777" w:rsidR="00CD78E9" w:rsidRPr="00290BE6" w:rsidRDefault="00CD78E9" w:rsidP="006F3EFC">
            <w:pPr>
              <w:rPr>
                <w:rFonts w:asciiTheme="minorHAnsi" w:hAnsiTheme="minorHAnsi" w:cs="Calibri"/>
                <w:color w:val="000000"/>
                <w:lang w:eastAsia="en-GB"/>
              </w:rPr>
            </w:pPr>
          </w:p>
        </w:tc>
        <w:tc>
          <w:tcPr>
            <w:tcW w:w="1843" w:type="dxa"/>
            <w:tcBorders>
              <w:top w:val="nil"/>
              <w:left w:val="nil"/>
              <w:bottom w:val="nil"/>
              <w:right w:val="nil"/>
            </w:tcBorders>
            <w:shd w:val="clear" w:color="auto" w:fill="auto"/>
            <w:noWrap/>
            <w:vAlign w:val="bottom"/>
            <w:hideMark/>
          </w:tcPr>
          <w:p w14:paraId="472F9E68" w14:textId="77777777" w:rsidR="00CD78E9" w:rsidRPr="00290BE6" w:rsidRDefault="00CD78E9" w:rsidP="006F3EFC">
            <w:pPr>
              <w:rPr>
                <w:rFonts w:asciiTheme="minorHAnsi" w:hAnsiTheme="minorHAnsi" w:cs="Calibri"/>
                <w:b/>
                <w:bCs/>
                <w:color w:val="000000"/>
                <w:lang w:eastAsia="en-GB"/>
              </w:rPr>
            </w:pPr>
            <w:r w:rsidRPr="00290BE6">
              <w:rPr>
                <w:rFonts w:asciiTheme="minorHAnsi" w:hAnsiTheme="minorHAnsi" w:cs="Calibri"/>
                <w:b/>
                <w:bCs/>
                <w:color w:val="000000"/>
                <w:lang w:eastAsia="en-GB"/>
              </w:rPr>
              <w:t>Percentage (%)</w:t>
            </w:r>
          </w:p>
        </w:tc>
        <w:tc>
          <w:tcPr>
            <w:tcW w:w="1701" w:type="dxa"/>
            <w:tcBorders>
              <w:top w:val="nil"/>
              <w:left w:val="nil"/>
              <w:bottom w:val="nil"/>
              <w:right w:val="nil"/>
            </w:tcBorders>
            <w:shd w:val="clear" w:color="auto" w:fill="auto"/>
            <w:noWrap/>
            <w:vAlign w:val="bottom"/>
            <w:hideMark/>
          </w:tcPr>
          <w:p w14:paraId="08DCCE5B" w14:textId="77777777" w:rsidR="00CD78E9" w:rsidRPr="00290BE6" w:rsidRDefault="00CD78E9" w:rsidP="006F3EFC">
            <w:pPr>
              <w:rPr>
                <w:rFonts w:asciiTheme="minorHAnsi" w:hAnsiTheme="minorHAnsi" w:cs="Calibri"/>
                <w:b/>
                <w:bCs/>
                <w:color w:val="000000"/>
                <w:lang w:eastAsia="en-GB"/>
              </w:rPr>
            </w:pPr>
            <w:r w:rsidRPr="00290BE6">
              <w:rPr>
                <w:rFonts w:asciiTheme="minorHAnsi" w:hAnsiTheme="minorHAnsi" w:cs="Calibri"/>
                <w:b/>
                <w:bCs/>
                <w:color w:val="000000"/>
                <w:lang w:eastAsia="en-GB"/>
              </w:rPr>
              <w:t>Amount (Ccy)</w:t>
            </w:r>
          </w:p>
        </w:tc>
      </w:tr>
      <w:tr w:rsidR="00CD78E9" w:rsidRPr="00290BE6" w14:paraId="61012347" w14:textId="77777777" w:rsidTr="006F3EFC">
        <w:trPr>
          <w:trHeight w:val="300"/>
        </w:trPr>
        <w:tc>
          <w:tcPr>
            <w:tcW w:w="5245" w:type="dxa"/>
            <w:tcBorders>
              <w:top w:val="nil"/>
              <w:left w:val="nil"/>
              <w:bottom w:val="nil"/>
              <w:right w:val="nil"/>
            </w:tcBorders>
            <w:shd w:val="clear" w:color="auto" w:fill="auto"/>
            <w:noWrap/>
            <w:vAlign w:val="bottom"/>
            <w:hideMark/>
          </w:tcPr>
          <w:p w14:paraId="08E18A53" w14:textId="77777777" w:rsidR="00CD78E9" w:rsidRPr="00290BE6" w:rsidRDefault="00CD78E9" w:rsidP="006F3EFC">
            <w:pPr>
              <w:rPr>
                <w:rFonts w:asciiTheme="minorHAnsi" w:hAnsiTheme="minorHAnsi" w:cs="Calibri"/>
                <w:color w:val="000000"/>
                <w:lang w:eastAsia="en-GB"/>
              </w:rPr>
            </w:pPr>
            <w:r w:rsidRPr="00290BE6">
              <w:rPr>
                <w:rFonts w:asciiTheme="minorHAnsi" w:hAnsiTheme="minorHAnsi" w:cs="Calibri"/>
                <w:color w:val="000000"/>
                <w:lang w:eastAsia="en-GB"/>
              </w:rPr>
              <w:t>Return before the deduction of cost and charges (gross)</w:t>
            </w:r>
          </w:p>
        </w:tc>
        <w:tc>
          <w:tcPr>
            <w:tcW w:w="1843" w:type="dxa"/>
            <w:tcBorders>
              <w:top w:val="nil"/>
              <w:left w:val="nil"/>
              <w:bottom w:val="nil"/>
              <w:right w:val="nil"/>
            </w:tcBorders>
            <w:shd w:val="clear" w:color="auto" w:fill="auto"/>
            <w:noWrap/>
            <w:vAlign w:val="bottom"/>
            <w:hideMark/>
          </w:tcPr>
          <w:p w14:paraId="4F843C09" w14:textId="77777777" w:rsidR="00CD78E9" w:rsidRPr="00290BE6" w:rsidRDefault="00CD78E9" w:rsidP="006F3EFC">
            <w:pPr>
              <w:jc w:val="right"/>
              <w:rPr>
                <w:rFonts w:asciiTheme="minorHAnsi" w:hAnsiTheme="minorHAnsi" w:cs="Calibri"/>
                <w:color w:val="000000"/>
                <w:lang w:eastAsia="en-GB"/>
              </w:rPr>
            </w:pPr>
            <w:r w:rsidRPr="00290BE6">
              <w:rPr>
                <w:rFonts w:asciiTheme="minorHAnsi" w:hAnsiTheme="minorHAnsi" w:cs="Calibri"/>
                <w:color w:val="000000"/>
                <w:lang w:eastAsia="en-GB"/>
              </w:rPr>
              <w:t>7.56%</w:t>
            </w:r>
          </w:p>
        </w:tc>
        <w:tc>
          <w:tcPr>
            <w:tcW w:w="1701" w:type="dxa"/>
            <w:tcBorders>
              <w:top w:val="nil"/>
              <w:left w:val="nil"/>
              <w:bottom w:val="nil"/>
              <w:right w:val="nil"/>
            </w:tcBorders>
            <w:shd w:val="clear" w:color="auto" w:fill="auto"/>
            <w:noWrap/>
            <w:vAlign w:val="bottom"/>
            <w:hideMark/>
          </w:tcPr>
          <w:p w14:paraId="1F0013B7" w14:textId="77777777" w:rsidR="00CD78E9" w:rsidRPr="00290BE6" w:rsidRDefault="00CD78E9" w:rsidP="006F3EFC">
            <w:pPr>
              <w:jc w:val="right"/>
              <w:rPr>
                <w:rFonts w:asciiTheme="minorHAnsi" w:hAnsiTheme="minorHAnsi" w:cs="Calibri"/>
                <w:color w:val="000000"/>
                <w:lang w:eastAsia="en-GB"/>
              </w:rPr>
            </w:pPr>
            <w:r w:rsidRPr="00290BE6">
              <w:rPr>
                <w:rFonts w:asciiTheme="minorHAnsi" w:hAnsiTheme="minorHAnsi" w:cs="Calibri"/>
                <w:color w:val="000000"/>
                <w:lang w:eastAsia="en-GB"/>
              </w:rPr>
              <w:t>£756</w:t>
            </w:r>
          </w:p>
        </w:tc>
      </w:tr>
      <w:tr w:rsidR="00CD78E9" w:rsidRPr="00290BE6" w14:paraId="56959132" w14:textId="77777777" w:rsidTr="006F3EFC">
        <w:trPr>
          <w:trHeight w:val="300"/>
        </w:trPr>
        <w:tc>
          <w:tcPr>
            <w:tcW w:w="5245" w:type="dxa"/>
            <w:tcBorders>
              <w:top w:val="nil"/>
              <w:left w:val="nil"/>
              <w:bottom w:val="nil"/>
              <w:right w:val="nil"/>
            </w:tcBorders>
            <w:shd w:val="clear" w:color="auto" w:fill="auto"/>
            <w:noWrap/>
            <w:vAlign w:val="bottom"/>
            <w:hideMark/>
          </w:tcPr>
          <w:p w14:paraId="03B345CB" w14:textId="77777777" w:rsidR="00CD78E9" w:rsidRPr="00290BE6" w:rsidRDefault="00CD78E9" w:rsidP="006F3EFC">
            <w:pPr>
              <w:rPr>
                <w:rFonts w:asciiTheme="minorHAnsi" w:hAnsiTheme="minorHAnsi" w:cs="Calibri"/>
                <w:color w:val="000000"/>
                <w:lang w:eastAsia="en-GB"/>
              </w:rPr>
            </w:pPr>
            <w:r w:rsidRPr="00290BE6">
              <w:rPr>
                <w:rFonts w:asciiTheme="minorHAnsi" w:hAnsiTheme="minorHAnsi" w:cs="Calibri"/>
                <w:color w:val="000000"/>
                <w:lang w:eastAsia="en-GB"/>
              </w:rPr>
              <w:t>Return after the deduction of cost &amp; charges (net)</w:t>
            </w:r>
          </w:p>
        </w:tc>
        <w:tc>
          <w:tcPr>
            <w:tcW w:w="1843" w:type="dxa"/>
            <w:tcBorders>
              <w:top w:val="nil"/>
              <w:left w:val="nil"/>
              <w:bottom w:val="nil"/>
              <w:right w:val="nil"/>
            </w:tcBorders>
            <w:shd w:val="clear" w:color="auto" w:fill="auto"/>
            <w:noWrap/>
            <w:vAlign w:val="bottom"/>
            <w:hideMark/>
          </w:tcPr>
          <w:p w14:paraId="0F893EE9" w14:textId="77777777" w:rsidR="00CD78E9" w:rsidRPr="00290BE6" w:rsidRDefault="00CD78E9" w:rsidP="006F3EFC">
            <w:pPr>
              <w:jc w:val="right"/>
              <w:rPr>
                <w:rFonts w:asciiTheme="minorHAnsi" w:hAnsiTheme="minorHAnsi" w:cs="Calibri"/>
                <w:color w:val="000000"/>
                <w:lang w:eastAsia="en-GB"/>
              </w:rPr>
            </w:pPr>
            <w:r w:rsidRPr="00290BE6">
              <w:rPr>
                <w:rFonts w:asciiTheme="minorHAnsi" w:hAnsiTheme="minorHAnsi" w:cs="Calibri"/>
                <w:color w:val="000000"/>
                <w:lang w:eastAsia="en-GB"/>
              </w:rPr>
              <w:t>5.28%</w:t>
            </w:r>
          </w:p>
        </w:tc>
        <w:tc>
          <w:tcPr>
            <w:tcW w:w="1701" w:type="dxa"/>
            <w:tcBorders>
              <w:top w:val="nil"/>
              <w:left w:val="nil"/>
              <w:bottom w:val="nil"/>
              <w:right w:val="nil"/>
            </w:tcBorders>
            <w:shd w:val="clear" w:color="auto" w:fill="auto"/>
            <w:noWrap/>
            <w:vAlign w:val="bottom"/>
            <w:hideMark/>
          </w:tcPr>
          <w:p w14:paraId="1F3F3309" w14:textId="77777777" w:rsidR="00CD78E9" w:rsidRPr="00290BE6" w:rsidRDefault="00CD78E9" w:rsidP="006F3EFC">
            <w:pPr>
              <w:jc w:val="right"/>
              <w:rPr>
                <w:rFonts w:asciiTheme="minorHAnsi" w:hAnsiTheme="minorHAnsi" w:cs="Calibri"/>
                <w:color w:val="000000"/>
                <w:lang w:eastAsia="en-GB"/>
              </w:rPr>
            </w:pPr>
            <w:r w:rsidRPr="00290BE6">
              <w:rPr>
                <w:rFonts w:asciiTheme="minorHAnsi" w:hAnsiTheme="minorHAnsi" w:cs="Calibri"/>
                <w:color w:val="000000"/>
                <w:lang w:eastAsia="en-GB"/>
              </w:rPr>
              <w:t>£528</w:t>
            </w:r>
          </w:p>
        </w:tc>
      </w:tr>
      <w:tr w:rsidR="00CD78E9" w:rsidRPr="00290BE6" w14:paraId="5CE72C16" w14:textId="77777777" w:rsidTr="006F3EFC">
        <w:trPr>
          <w:trHeight w:val="315"/>
        </w:trPr>
        <w:tc>
          <w:tcPr>
            <w:tcW w:w="5245" w:type="dxa"/>
            <w:tcBorders>
              <w:top w:val="nil"/>
              <w:left w:val="nil"/>
              <w:bottom w:val="nil"/>
              <w:right w:val="nil"/>
            </w:tcBorders>
            <w:shd w:val="clear" w:color="auto" w:fill="auto"/>
            <w:noWrap/>
            <w:vAlign w:val="bottom"/>
            <w:hideMark/>
          </w:tcPr>
          <w:p w14:paraId="42F01C75" w14:textId="77777777" w:rsidR="00CD78E9" w:rsidRPr="00290BE6" w:rsidRDefault="00CD78E9" w:rsidP="006F3EFC">
            <w:pPr>
              <w:rPr>
                <w:rFonts w:asciiTheme="minorHAnsi" w:hAnsiTheme="minorHAnsi" w:cs="Calibri"/>
                <w:color w:val="000000"/>
                <w:lang w:eastAsia="en-GB"/>
              </w:rPr>
            </w:pPr>
            <w:r w:rsidRPr="00290BE6">
              <w:rPr>
                <w:rFonts w:asciiTheme="minorHAnsi" w:hAnsiTheme="minorHAnsi" w:cs="Calibri"/>
                <w:color w:val="000000"/>
                <w:lang w:eastAsia="en-GB"/>
              </w:rPr>
              <w:t>Cumulative effect of cost &amp; charges (Difference)</w:t>
            </w:r>
          </w:p>
        </w:tc>
        <w:tc>
          <w:tcPr>
            <w:tcW w:w="1843" w:type="dxa"/>
            <w:tcBorders>
              <w:top w:val="single" w:sz="4" w:space="0" w:color="auto"/>
              <w:left w:val="nil"/>
              <w:bottom w:val="double" w:sz="6" w:space="0" w:color="auto"/>
              <w:right w:val="nil"/>
            </w:tcBorders>
            <w:shd w:val="clear" w:color="auto" w:fill="auto"/>
            <w:noWrap/>
            <w:vAlign w:val="bottom"/>
            <w:hideMark/>
          </w:tcPr>
          <w:p w14:paraId="1080808F" w14:textId="77777777" w:rsidR="00CD78E9" w:rsidRPr="00290BE6" w:rsidRDefault="00CD78E9" w:rsidP="006F3EFC">
            <w:pPr>
              <w:jc w:val="right"/>
              <w:rPr>
                <w:rFonts w:asciiTheme="minorHAnsi" w:hAnsiTheme="minorHAnsi" w:cs="Calibri"/>
                <w:b/>
                <w:bCs/>
                <w:color w:val="000000"/>
                <w:lang w:eastAsia="en-GB"/>
              </w:rPr>
            </w:pPr>
            <w:r w:rsidRPr="00290BE6">
              <w:rPr>
                <w:rFonts w:asciiTheme="minorHAnsi" w:hAnsiTheme="minorHAnsi" w:cs="Calibri"/>
                <w:b/>
                <w:bCs/>
                <w:color w:val="000000"/>
                <w:lang w:eastAsia="en-GB"/>
              </w:rPr>
              <w:t>2.28%</w:t>
            </w:r>
          </w:p>
        </w:tc>
        <w:tc>
          <w:tcPr>
            <w:tcW w:w="1701" w:type="dxa"/>
            <w:tcBorders>
              <w:top w:val="single" w:sz="4" w:space="0" w:color="auto"/>
              <w:left w:val="nil"/>
              <w:bottom w:val="double" w:sz="6" w:space="0" w:color="auto"/>
              <w:right w:val="nil"/>
            </w:tcBorders>
            <w:shd w:val="clear" w:color="auto" w:fill="auto"/>
            <w:noWrap/>
            <w:vAlign w:val="bottom"/>
            <w:hideMark/>
          </w:tcPr>
          <w:p w14:paraId="2CD0AF70" w14:textId="77777777" w:rsidR="00CD78E9" w:rsidRPr="00290BE6" w:rsidRDefault="00CD78E9" w:rsidP="006F3EFC">
            <w:pPr>
              <w:jc w:val="right"/>
              <w:rPr>
                <w:rFonts w:asciiTheme="minorHAnsi" w:hAnsiTheme="minorHAnsi" w:cs="Calibri"/>
                <w:b/>
                <w:bCs/>
                <w:color w:val="000000"/>
                <w:lang w:eastAsia="en-GB"/>
              </w:rPr>
            </w:pPr>
            <w:r w:rsidRPr="00290BE6">
              <w:rPr>
                <w:rFonts w:asciiTheme="minorHAnsi" w:hAnsiTheme="minorHAnsi" w:cs="Calibri"/>
                <w:b/>
                <w:bCs/>
                <w:color w:val="000000"/>
                <w:lang w:eastAsia="en-GB"/>
              </w:rPr>
              <w:t>£228</w:t>
            </w:r>
          </w:p>
        </w:tc>
      </w:tr>
    </w:tbl>
    <w:p w14:paraId="2B931E03" w14:textId="77777777" w:rsidR="00CD78E9" w:rsidRPr="00290BE6" w:rsidRDefault="00CD78E9" w:rsidP="00CD78E9">
      <w:pPr>
        <w:rPr>
          <w:rFonts w:asciiTheme="minorHAnsi" w:hAnsiTheme="minorHAnsi" w:cstheme="minorHAnsi"/>
          <w:sz w:val="24"/>
        </w:rPr>
      </w:pPr>
    </w:p>
    <w:p w14:paraId="45F320A5" w14:textId="77777777" w:rsidR="00CD78E9" w:rsidRPr="00290BE6" w:rsidRDefault="00CD78E9" w:rsidP="00CD78E9">
      <w:pPr>
        <w:jc w:val="center"/>
        <w:rPr>
          <w:rFonts w:asciiTheme="minorHAnsi" w:hAnsiTheme="minorHAnsi" w:cstheme="minorHAnsi"/>
          <w:sz w:val="24"/>
        </w:rPr>
      </w:pPr>
    </w:p>
    <w:p w14:paraId="1B3845B1" w14:textId="77777777" w:rsidR="00CD78E9" w:rsidRPr="000368AA" w:rsidRDefault="00CD78E9" w:rsidP="000368AA">
      <w:pPr>
        <w:jc w:val="both"/>
        <w:rPr>
          <w:rFonts w:asciiTheme="minorHAnsi" w:hAnsiTheme="minorHAnsi" w:cstheme="minorHAnsi"/>
          <w:szCs w:val="22"/>
        </w:rPr>
      </w:pPr>
      <w:r w:rsidRPr="000368AA">
        <w:rPr>
          <w:rFonts w:asciiTheme="minorHAnsi" w:hAnsiTheme="minorHAnsi" w:cstheme="minorHAnsi"/>
          <w:szCs w:val="22"/>
        </w:rPr>
        <w:t>Alternatively Investment Firms could use a graph to illustrate the effect fees have had on the return throughout the last year, such as the below.</w:t>
      </w:r>
    </w:p>
    <w:p w14:paraId="58D6526B" w14:textId="77777777" w:rsidR="00CD78E9" w:rsidRDefault="00CD78E9" w:rsidP="00CD78E9">
      <w:pPr>
        <w:rPr>
          <w:rFonts w:cstheme="minorHAnsi"/>
          <w:sz w:val="24"/>
        </w:rPr>
      </w:pPr>
    </w:p>
    <w:p w14:paraId="3124B8C6" w14:textId="77777777" w:rsidR="00CD78E9" w:rsidRDefault="00CD78E9" w:rsidP="00CD78E9">
      <w:pPr>
        <w:jc w:val="center"/>
        <w:rPr>
          <w:rFonts w:cstheme="minorHAnsi"/>
          <w:sz w:val="24"/>
        </w:rPr>
      </w:pPr>
      <w:r>
        <w:rPr>
          <w:rFonts w:cstheme="minorHAnsi"/>
          <w:noProof/>
          <w:sz w:val="24"/>
        </w:rPr>
        <w:drawing>
          <wp:inline distT="0" distB="0" distL="0" distR="0" wp14:anchorId="458A1F41" wp14:editId="5EDDDC2D">
            <wp:extent cx="4343400" cy="230117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5432" cy="2302256"/>
                    </a:xfrm>
                    <a:prstGeom prst="rect">
                      <a:avLst/>
                    </a:prstGeom>
                    <a:noFill/>
                  </pic:spPr>
                </pic:pic>
              </a:graphicData>
            </a:graphic>
          </wp:inline>
        </w:drawing>
      </w:r>
    </w:p>
    <w:p w14:paraId="68D15EF7" w14:textId="77777777" w:rsidR="00CD78E9" w:rsidRDefault="00CD78E9" w:rsidP="00CD78E9">
      <w:pPr>
        <w:rPr>
          <w:rFonts w:cstheme="minorHAnsi"/>
          <w:sz w:val="24"/>
        </w:rPr>
      </w:pPr>
    </w:p>
    <w:p w14:paraId="01F9A00A" w14:textId="694EDE6B" w:rsidR="00580A4F" w:rsidRDefault="00CD78E9" w:rsidP="000D06F2">
      <w:pPr>
        <w:jc w:val="both"/>
        <w:rPr>
          <w:rFonts w:cstheme="minorHAnsi"/>
          <w:b/>
          <w:sz w:val="24"/>
        </w:rPr>
      </w:pPr>
      <w:r w:rsidRPr="000368AA">
        <w:rPr>
          <w:rFonts w:asciiTheme="minorHAnsi" w:hAnsiTheme="minorHAnsi" w:cstheme="minorHAnsi"/>
          <w:szCs w:val="22"/>
        </w:rPr>
        <w:t>For more information on the cumulative effect of cost</w:t>
      </w:r>
      <w:r w:rsidR="002779D5">
        <w:rPr>
          <w:rFonts w:asciiTheme="minorHAnsi" w:hAnsiTheme="minorHAnsi" w:cstheme="minorHAnsi"/>
          <w:szCs w:val="22"/>
        </w:rPr>
        <w:t xml:space="preserve">s </w:t>
      </w:r>
      <w:r w:rsidRPr="000368AA">
        <w:rPr>
          <w:rFonts w:asciiTheme="minorHAnsi" w:hAnsiTheme="minorHAnsi" w:cstheme="minorHAnsi"/>
          <w:szCs w:val="22"/>
        </w:rPr>
        <w:t xml:space="preserve">&amp; charges on return, the methodology and a workbook example please see </w:t>
      </w:r>
      <w:r w:rsidR="003566C9">
        <w:rPr>
          <w:rFonts w:asciiTheme="minorHAnsi" w:hAnsiTheme="minorHAnsi" w:cstheme="minorHAnsi"/>
          <w:szCs w:val="22"/>
        </w:rPr>
        <w:t>Chapter 9.</w:t>
      </w:r>
    </w:p>
    <w:p w14:paraId="2E41A7BD" w14:textId="77777777" w:rsidR="005269A5" w:rsidRDefault="005269A5" w:rsidP="007D53AC">
      <w:pPr>
        <w:rPr>
          <w:rFonts w:asciiTheme="minorHAnsi" w:hAnsiTheme="minorHAnsi" w:cstheme="minorHAnsi"/>
          <w:sz w:val="24"/>
        </w:rPr>
      </w:pPr>
    </w:p>
    <w:p w14:paraId="3AB2C049" w14:textId="42785A06" w:rsidR="004D78CB" w:rsidRPr="004D78CB" w:rsidRDefault="004D78CB" w:rsidP="004D78CB">
      <w:pPr>
        <w:pStyle w:val="Heading2"/>
      </w:pPr>
      <w:bookmarkStart w:id="566" w:name="_Toc366502098"/>
      <w:bookmarkStart w:id="567" w:name="_Toc369907879"/>
      <w:bookmarkStart w:id="568" w:name="_Toc370052396"/>
      <w:bookmarkStart w:id="569" w:name="_Toc372234544"/>
      <w:bookmarkStart w:id="570" w:name="_Toc395871072"/>
      <w:bookmarkStart w:id="571" w:name="_Toc409468239"/>
      <w:r w:rsidRPr="004D78CB">
        <w:lastRenderedPageBreak/>
        <w:t>Ex-Post Discretionary Portfolio Reporting</w:t>
      </w:r>
      <w:r>
        <w:t>: Method</w:t>
      </w:r>
      <w:r w:rsidR="005713C1">
        <w:t>s</w:t>
      </w:r>
      <w:r>
        <w:t xml:space="preserve"> of Reporting</w:t>
      </w:r>
      <w:bookmarkEnd w:id="566"/>
      <w:bookmarkEnd w:id="567"/>
      <w:bookmarkEnd w:id="568"/>
      <w:bookmarkEnd w:id="569"/>
      <w:bookmarkEnd w:id="570"/>
      <w:bookmarkEnd w:id="571"/>
    </w:p>
    <w:p w14:paraId="7E081F25" w14:textId="77777777" w:rsidR="004D78CB" w:rsidRDefault="004D78CB" w:rsidP="007D53AC">
      <w:pPr>
        <w:pStyle w:val="Heading2"/>
        <w:numPr>
          <w:ilvl w:val="0"/>
          <w:numId w:val="0"/>
        </w:numPr>
      </w:pPr>
    </w:p>
    <w:p w14:paraId="307B079E" w14:textId="77777777" w:rsidR="005713C1" w:rsidRPr="002E45F4" w:rsidRDefault="005713C1" w:rsidP="004E65EB">
      <w:pPr>
        <w:pStyle w:val="Heading3"/>
        <w:ind w:left="709"/>
        <w:rPr>
          <w:rFonts w:ascii="Calibri" w:hAnsi="Calibri"/>
          <w:color w:val="auto"/>
          <w:sz w:val="24"/>
          <w:szCs w:val="24"/>
        </w:rPr>
      </w:pPr>
      <w:bookmarkStart w:id="572" w:name="_Toc366502099"/>
      <w:bookmarkStart w:id="573" w:name="_Toc369907880"/>
      <w:bookmarkStart w:id="574" w:name="_Toc370052397"/>
      <w:bookmarkStart w:id="575" w:name="_Toc372234545"/>
      <w:bookmarkStart w:id="576" w:name="_Toc395871073"/>
      <w:bookmarkStart w:id="577" w:name="_Toc409468240"/>
      <w:r w:rsidRPr="002E45F4">
        <w:rPr>
          <w:rFonts w:ascii="Calibri" w:hAnsi="Calibri"/>
          <w:color w:val="auto"/>
          <w:sz w:val="24"/>
          <w:szCs w:val="24"/>
        </w:rPr>
        <w:t>TISA Discretionary Investment Management Template</w:t>
      </w:r>
      <w:bookmarkEnd w:id="572"/>
      <w:bookmarkEnd w:id="573"/>
      <w:bookmarkEnd w:id="574"/>
      <w:bookmarkEnd w:id="575"/>
      <w:bookmarkEnd w:id="576"/>
      <w:bookmarkEnd w:id="577"/>
      <w:r w:rsidRPr="002E45F4">
        <w:rPr>
          <w:rFonts w:ascii="Calibri" w:hAnsi="Calibri"/>
          <w:color w:val="auto"/>
          <w:sz w:val="24"/>
          <w:szCs w:val="24"/>
        </w:rPr>
        <w:t xml:space="preserve">  </w:t>
      </w:r>
    </w:p>
    <w:p w14:paraId="686EE997" w14:textId="77777777" w:rsidR="005713C1" w:rsidRDefault="005713C1" w:rsidP="002E45F4"/>
    <w:p w14:paraId="0204319B" w14:textId="2A02E29F" w:rsidR="005713C1" w:rsidRDefault="005713C1" w:rsidP="002E45F4">
      <w:pPr>
        <w:rPr>
          <w:rFonts w:asciiTheme="minorHAnsi" w:hAnsiTheme="minorHAnsi" w:cstheme="minorHAnsi"/>
          <w:szCs w:val="22"/>
        </w:rPr>
      </w:pPr>
      <w:r w:rsidRPr="002E45F4">
        <w:rPr>
          <w:rFonts w:asciiTheme="minorHAnsi" w:hAnsiTheme="minorHAnsi" w:cstheme="minorHAnsi"/>
          <w:szCs w:val="22"/>
        </w:rPr>
        <w:t xml:space="preserve">This is an example </w:t>
      </w:r>
      <w:r w:rsidR="003566C9">
        <w:rPr>
          <w:rFonts w:asciiTheme="minorHAnsi" w:hAnsiTheme="minorHAnsi" w:cstheme="minorHAnsi"/>
          <w:szCs w:val="22"/>
        </w:rPr>
        <w:t>E</w:t>
      </w:r>
      <w:r w:rsidRPr="002E45F4">
        <w:rPr>
          <w:rFonts w:asciiTheme="minorHAnsi" w:hAnsiTheme="minorHAnsi" w:cstheme="minorHAnsi"/>
          <w:szCs w:val="22"/>
        </w:rPr>
        <w:t>x-</w:t>
      </w:r>
      <w:r w:rsidR="003566C9">
        <w:rPr>
          <w:rFonts w:asciiTheme="minorHAnsi" w:hAnsiTheme="minorHAnsi" w:cstheme="minorHAnsi"/>
          <w:szCs w:val="22"/>
        </w:rPr>
        <w:t>P</w:t>
      </w:r>
      <w:r w:rsidRPr="002E45F4">
        <w:rPr>
          <w:rFonts w:asciiTheme="minorHAnsi" w:hAnsiTheme="minorHAnsi" w:cstheme="minorHAnsi"/>
          <w:szCs w:val="22"/>
        </w:rPr>
        <w:t>ost cost</w:t>
      </w:r>
      <w:r w:rsidR="002779D5">
        <w:rPr>
          <w:rFonts w:asciiTheme="minorHAnsi" w:hAnsiTheme="minorHAnsi" w:cstheme="minorHAnsi"/>
          <w:szCs w:val="22"/>
        </w:rPr>
        <w:t>s</w:t>
      </w:r>
      <w:r w:rsidRPr="002E45F4">
        <w:rPr>
          <w:rFonts w:asciiTheme="minorHAnsi" w:hAnsiTheme="minorHAnsi" w:cstheme="minorHAnsi"/>
          <w:szCs w:val="22"/>
        </w:rPr>
        <w:t xml:space="preserve"> </w:t>
      </w:r>
      <w:r w:rsidR="002779D5">
        <w:rPr>
          <w:rFonts w:asciiTheme="minorHAnsi" w:hAnsiTheme="minorHAnsi" w:cstheme="minorHAnsi"/>
          <w:szCs w:val="22"/>
        </w:rPr>
        <w:t>&amp;</w:t>
      </w:r>
      <w:r w:rsidR="002779D5" w:rsidRPr="002E45F4">
        <w:rPr>
          <w:rFonts w:asciiTheme="minorHAnsi" w:hAnsiTheme="minorHAnsi" w:cstheme="minorHAnsi"/>
          <w:szCs w:val="22"/>
        </w:rPr>
        <w:t xml:space="preserve"> </w:t>
      </w:r>
      <w:r w:rsidRPr="002E45F4">
        <w:rPr>
          <w:rFonts w:asciiTheme="minorHAnsi" w:hAnsiTheme="minorHAnsi" w:cstheme="minorHAnsi"/>
          <w:szCs w:val="22"/>
        </w:rPr>
        <w:t>charges disclosure template</w:t>
      </w:r>
      <w:r>
        <w:rPr>
          <w:rFonts w:asciiTheme="minorHAnsi" w:hAnsiTheme="minorHAnsi" w:cstheme="minorHAnsi"/>
          <w:szCs w:val="22"/>
        </w:rPr>
        <w:t xml:space="preserve"> </w:t>
      </w:r>
      <w:r w:rsidR="003566C9">
        <w:rPr>
          <w:rFonts w:asciiTheme="minorHAnsi" w:hAnsiTheme="minorHAnsi" w:cstheme="minorHAnsi"/>
          <w:szCs w:val="22"/>
        </w:rPr>
        <w:t xml:space="preserve">of </w:t>
      </w:r>
      <w:r>
        <w:rPr>
          <w:rFonts w:asciiTheme="minorHAnsi" w:hAnsiTheme="minorHAnsi" w:cstheme="minorHAnsi"/>
          <w:szCs w:val="22"/>
        </w:rPr>
        <w:t>how</w:t>
      </w:r>
      <w:r w:rsidRPr="002E45F4">
        <w:rPr>
          <w:rFonts w:asciiTheme="minorHAnsi" w:hAnsiTheme="minorHAnsi" w:cstheme="minorHAnsi"/>
          <w:szCs w:val="22"/>
        </w:rPr>
        <w:t xml:space="preserve"> </w:t>
      </w:r>
      <w:r>
        <w:rPr>
          <w:rFonts w:asciiTheme="minorHAnsi" w:hAnsiTheme="minorHAnsi" w:cstheme="minorHAnsi"/>
          <w:szCs w:val="22"/>
        </w:rPr>
        <w:t xml:space="preserve">firms </w:t>
      </w:r>
      <w:r w:rsidRPr="002E45F4">
        <w:rPr>
          <w:rFonts w:asciiTheme="minorHAnsi" w:hAnsiTheme="minorHAnsi" w:cstheme="minorHAnsi"/>
          <w:szCs w:val="22"/>
        </w:rPr>
        <w:t>could present the cost</w:t>
      </w:r>
      <w:r w:rsidR="002779D5">
        <w:rPr>
          <w:rFonts w:asciiTheme="minorHAnsi" w:hAnsiTheme="minorHAnsi" w:cstheme="minorHAnsi"/>
          <w:szCs w:val="22"/>
        </w:rPr>
        <w:t>s</w:t>
      </w:r>
      <w:r w:rsidRPr="002E45F4">
        <w:rPr>
          <w:rFonts w:asciiTheme="minorHAnsi" w:hAnsiTheme="minorHAnsi" w:cstheme="minorHAnsi"/>
          <w:szCs w:val="22"/>
        </w:rPr>
        <w:t xml:space="preserve"> </w:t>
      </w:r>
      <w:r w:rsidR="002779D5">
        <w:rPr>
          <w:rFonts w:asciiTheme="minorHAnsi" w:hAnsiTheme="minorHAnsi" w:cstheme="minorHAnsi"/>
          <w:szCs w:val="22"/>
        </w:rPr>
        <w:t>&amp;</w:t>
      </w:r>
      <w:r w:rsidR="002779D5" w:rsidRPr="002E45F4">
        <w:rPr>
          <w:rFonts w:asciiTheme="minorHAnsi" w:hAnsiTheme="minorHAnsi" w:cstheme="minorHAnsi"/>
          <w:szCs w:val="22"/>
        </w:rPr>
        <w:t xml:space="preserve"> </w:t>
      </w:r>
      <w:r w:rsidRPr="002E45F4">
        <w:rPr>
          <w:rFonts w:asciiTheme="minorHAnsi" w:hAnsiTheme="minorHAnsi" w:cstheme="minorHAnsi"/>
          <w:szCs w:val="22"/>
        </w:rPr>
        <w:t>charges of running the segregated portfolio for the client. Other options may be to include the cost</w:t>
      </w:r>
      <w:r w:rsidR="002779D5">
        <w:rPr>
          <w:rFonts w:asciiTheme="minorHAnsi" w:hAnsiTheme="minorHAnsi" w:cstheme="minorHAnsi"/>
          <w:szCs w:val="22"/>
        </w:rPr>
        <w:t>s</w:t>
      </w:r>
      <w:r w:rsidRPr="002E45F4">
        <w:rPr>
          <w:rFonts w:asciiTheme="minorHAnsi" w:hAnsiTheme="minorHAnsi" w:cstheme="minorHAnsi"/>
          <w:szCs w:val="22"/>
        </w:rPr>
        <w:t xml:space="preserve"> </w:t>
      </w:r>
      <w:r w:rsidR="002779D5">
        <w:rPr>
          <w:rFonts w:asciiTheme="minorHAnsi" w:hAnsiTheme="minorHAnsi" w:cstheme="minorHAnsi"/>
          <w:szCs w:val="22"/>
        </w:rPr>
        <w:t>&amp;</w:t>
      </w:r>
      <w:r w:rsidR="002779D5" w:rsidRPr="002E45F4">
        <w:rPr>
          <w:rFonts w:asciiTheme="minorHAnsi" w:hAnsiTheme="minorHAnsi" w:cstheme="minorHAnsi"/>
          <w:szCs w:val="22"/>
        </w:rPr>
        <w:t xml:space="preserve"> </w:t>
      </w:r>
      <w:r w:rsidRPr="002E45F4">
        <w:rPr>
          <w:rFonts w:asciiTheme="minorHAnsi" w:hAnsiTheme="minorHAnsi" w:cstheme="minorHAnsi"/>
          <w:szCs w:val="22"/>
        </w:rPr>
        <w:t>charges in the periodic reporting or the client may elect to receive the EMT for onwards cost and charges calculation to end investors.</w:t>
      </w:r>
    </w:p>
    <w:p w14:paraId="6B5493B7" w14:textId="77777777" w:rsidR="000529BE" w:rsidRPr="002E45F4" w:rsidRDefault="000529BE" w:rsidP="002E45F4">
      <w:pPr>
        <w:rPr>
          <w:rFonts w:asciiTheme="minorHAnsi" w:hAnsiTheme="minorHAnsi" w:cstheme="minorHAnsi"/>
          <w:szCs w:val="22"/>
        </w:rPr>
      </w:pPr>
    </w:p>
    <w:p w14:paraId="21202A49" w14:textId="5CFA8DD9" w:rsidR="005713C1" w:rsidRDefault="000529BE" w:rsidP="002E45F4">
      <w:pPr>
        <w:pStyle w:val="Heading3"/>
        <w:numPr>
          <w:ilvl w:val="0"/>
          <w:numId w:val="0"/>
        </w:numPr>
        <w:ind w:left="720"/>
      </w:pPr>
      <w:r w:rsidRPr="000529BE">
        <w:rPr>
          <w:noProof/>
        </w:rPr>
        <w:drawing>
          <wp:inline distT="0" distB="0" distL="0" distR="0" wp14:anchorId="13209593" wp14:editId="66C050A9">
            <wp:extent cx="6703060" cy="6464587"/>
            <wp:effectExtent l="0" t="0" r="254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704361" cy="6465842"/>
                    </a:xfrm>
                    <a:prstGeom prst="rect">
                      <a:avLst/>
                    </a:prstGeom>
                  </pic:spPr>
                </pic:pic>
              </a:graphicData>
            </a:graphic>
          </wp:inline>
        </w:drawing>
      </w:r>
    </w:p>
    <w:p w14:paraId="2AC7DAA1" w14:textId="77777777" w:rsidR="001F5FC6" w:rsidRDefault="001F5FC6" w:rsidP="001F5FC6"/>
    <w:p w14:paraId="501B13E6" w14:textId="5F999478" w:rsidR="001F5FC6" w:rsidRPr="001F5422" w:rsidRDefault="00305102" w:rsidP="001F5FC6">
      <w:pPr>
        <w:rPr>
          <w:rFonts w:asciiTheme="minorHAnsi" w:hAnsiTheme="minorHAnsi"/>
        </w:rPr>
      </w:pPr>
      <w:r w:rsidRPr="001F5422">
        <w:rPr>
          <w:rFonts w:asciiTheme="minorHAnsi" w:hAnsiTheme="minorHAnsi"/>
        </w:rPr>
        <w:lastRenderedPageBreak/>
        <w:t>It should be noted that the cumulative effect should be shown on a cumulative basis, since the start of the MiFID II relationship.  That is, roll the costs up and the impact</w:t>
      </w:r>
      <w:r w:rsidR="001F5422">
        <w:rPr>
          <w:rFonts w:asciiTheme="minorHAnsi" w:hAnsiTheme="minorHAnsi"/>
        </w:rPr>
        <w:t>,</w:t>
      </w:r>
      <w:bookmarkStart w:id="578" w:name="_GoBack"/>
      <w:bookmarkEnd w:id="578"/>
      <w:r w:rsidRPr="001F5422">
        <w:rPr>
          <w:rFonts w:asciiTheme="minorHAnsi" w:hAnsiTheme="minorHAnsi"/>
        </w:rPr>
        <w:t xml:space="preserve"> such that after two years, the report shows two years costs and the effect on return.</w:t>
      </w:r>
    </w:p>
    <w:p w14:paraId="39D74E59" w14:textId="5D7CF3A7" w:rsidR="001F5FC6" w:rsidRPr="001F5FC6" w:rsidRDefault="001F5FC6" w:rsidP="001F5FC6"/>
    <w:p w14:paraId="210903E4" w14:textId="77777777" w:rsidR="005269A5" w:rsidRPr="004D78CB" w:rsidRDefault="005269A5" w:rsidP="00305102">
      <w:pPr>
        <w:pStyle w:val="Heading3"/>
        <w:ind w:left="709" w:hanging="709"/>
        <w:jc w:val="both"/>
      </w:pPr>
      <w:bookmarkStart w:id="579" w:name="_Toc366502100"/>
      <w:bookmarkStart w:id="580" w:name="_Toc369907881"/>
      <w:bookmarkStart w:id="581" w:name="_Toc370052398"/>
      <w:bookmarkStart w:id="582" w:name="_Toc372234546"/>
      <w:bookmarkStart w:id="583" w:name="_Toc395871074"/>
      <w:bookmarkStart w:id="584" w:name="_Toc409468241"/>
      <w:r w:rsidRPr="004D78CB">
        <w:rPr>
          <w:rFonts w:ascii="Calibri" w:hAnsi="Calibri"/>
          <w:color w:val="auto"/>
          <w:sz w:val="24"/>
          <w:szCs w:val="24"/>
        </w:rPr>
        <w:t>Article 60 Reporting obligations in respect of portfolio management</w:t>
      </w:r>
      <w:bookmarkEnd w:id="579"/>
      <w:bookmarkEnd w:id="580"/>
      <w:bookmarkEnd w:id="581"/>
      <w:bookmarkEnd w:id="582"/>
      <w:bookmarkEnd w:id="583"/>
      <w:bookmarkEnd w:id="584"/>
    </w:p>
    <w:p w14:paraId="71E70868" w14:textId="77777777" w:rsidR="005269A5" w:rsidRDefault="005269A5" w:rsidP="00894AA2">
      <w:pPr>
        <w:jc w:val="both"/>
        <w:rPr>
          <w:rFonts w:cstheme="minorHAnsi"/>
          <w:sz w:val="24"/>
        </w:rPr>
      </w:pPr>
    </w:p>
    <w:p w14:paraId="2C355581" w14:textId="12E2BE01" w:rsidR="00E41E05" w:rsidRPr="002425B2" w:rsidRDefault="005269A5">
      <w:pPr>
        <w:jc w:val="both"/>
        <w:rPr>
          <w:rFonts w:asciiTheme="minorHAnsi" w:hAnsiTheme="minorHAnsi" w:cstheme="minorHAnsi"/>
          <w:strike/>
          <w:szCs w:val="22"/>
        </w:rPr>
      </w:pPr>
      <w:r w:rsidRPr="000368AA">
        <w:rPr>
          <w:rFonts w:asciiTheme="minorHAnsi" w:hAnsiTheme="minorHAnsi" w:cstheme="minorHAnsi"/>
          <w:szCs w:val="22"/>
        </w:rPr>
        <w:t>Under Article 60</w:t>
      </w:r>
      <w:r w:rsidR="00047C78">
        <w:rPr>
          <w:rFonts w:asciiTheme="minorHAnsi" w:hAnsiTheme="minorHAnsi" w:cstheme="minorHAnsi"/>
          <w:szCs w:val="22"/>
        </w:rPr>
        <w:t xml:space="preserve"> of the MiFID II Delegated Regulation</w:t>
      </w:r>
      <w:r>
        <w:rPr>
          <w:rFonts w:asciiTheme="minorHAnsi" w:hAnsiTheme="minorHAnsi" w:cstheme="minorHAnsi"/>
          <w:szCs w:val="22"/>
        </w:rPr>
        <w:t>,</w:t>
      </w:r>
      <w:r w:rsidRPr="000368AA">
        <w:rPr>
          <w:rFonts w:asciiTheme="minorHAnsi" w:hAnsiTheme="minorHAnsi" w:cstheme="minorHAnsi"/>
          <w:szCs w:val="22"/>
        </w:rPr>
        <w:t xml:space="preserve"> </w:t>
      </w:r>
      <w:r w:rsidR="00047C78">
        <w:rPr>
          <w:rFonts w:asciiTheme="minorHAnsi" w:hAnsiTheme="minorHAnsi" w:cstheme="minorHAnsi"/>
          <w:szCs w:val="22"/>
        </w:rPr>
        <w:t>i</w:t>
      </w:r>
      <w:r w:rsidRPr="000368AA">
        <w:rPr>
          <w:rFonts w:asciiTheme="minorHAnsi" w:hAnsiTheme="minorHAnsi" w:cstheme="minorHAnsi"/>
          <w:szCs w:val="22"/>
        </w:rPr>
        <w:t xml:space="preserve">nvestment firms </w:t>
      </w:r>
      <w:r w:rsidR="003A60EC">
        <w:rPr>
          <w:rFonts w:asciiTheme="minorHAnsi" w:hAnsiTheme="minorHAnsi" w:cstheme="minorHAnsi"/>
          <w:szCs w:val="22"/>
        </w:rPr>
        <w:t xml:space="preserve">providing clients with the service of portfolio management (such as segregated mandates) are required to provide clients with a portfolio statement on a </w:t>
      </w:r>
      <w:r w:rsidR="00A85516">
        <w:rPr>
          <w:rFonts w:asciiTheme="minorHAnsi" w:hAnsiTheme="minorHAnsi" w:cstheme="minorHAnsi"/>
          <w:szCs w:val="22"/>
        </w:rPr>
        <w:t>periodic basis</w:t>
      </w:r>
      <w:r w:rsidR="002425B2">
        <w:rPr>
          <w:rFonts w:asciiTheme="minorHAnsi" w:hAnsiTheme="minorHAnsi" w:cstheme="minorHAnsi"/>
          <w:szCs w:val="22"/>
        </w:rPr>
        <w:t>,</w:t>
      </w:r>
      <w:r w:rsidR="003A60EC">
        <w:rPr>
          <w:rFonts w:asciiTheme="minorHAnsi" w:hAnsiTheme="minorHAnsi" w:cstheme="minorHAnsi"/>
          <w:szCs w:val="22"/>
        </w:rPr>
        <w:t xml:space="preserve"> which includes relevant information for the client </w:t>
      </w:r>
      <w:r w:rsidR="00A85516">
        <w:rPr>
          <w:rFonts w:asciiTheme="minorHAnsi" w:hAnsiTheme="minorHAnsi" w:cstheme="minorHAnsi"/>
          <w:szCs w:val="22"/>
        </w:rPr>
        <w:t>including costs of the portfolio.</w:t>
      </w:r>
      <w:r w:rsidR="003A60EC">
        <w:rPr>
          <w:rFonts w:asciiTheme="minorHAnsi" w:hAnsiTheme="minorHAnsi" w:cstheme="minorHAnsi"/>
          <w:szCs w:val="22"/>
        </w:rPr>
        <w:t xml:space="preserve"> </w:t>
      </w:r>
    </w:p>
    <w:p w14:paraId="39C3C6CD" w14:textId="77777777" w:rsidR="00E41E05" w:rsidRDefault="00E41E05">
      <w:pPr>
        <w:jc w:val="both"/>
        <w:rPr>
          <w:rFonts w:asciiTheme="minorHAnsi" w:hAnsiTheme="minorHAnsi" w:cstheme="minorHAnsi"/>
          <w:szCs w:val="22"/>
        </w:rPr>
      </w:pPr>
    </w:p>
    <w:p w14:paraId="47B84533" w14:textId="694A2C44" w:rsidR="001E5E46" w:rsidRPr="008F524F" w:rsidRDefault="003A60EC" w:rsidP="008F524F">
      <w:pPr>
        <w:autoSpaceDE w:val="0"/>
        <w:autoSpaceDN w:val="0"/>
        <w:adjustRightInd w:val="0"/>
        <w:rPr>
          <w:rFonts w:asciiTheme="minorHAnsi" w:eastAsiaTheme="minorHAnsi" w:hAnsiTheme="minorHAnsi"/>
          <w:color w:val="000000"/>
          <w:sz w:val="23"/>
          <w:szCs w:val="23"/>
          <w:lang w:val="en-GB"/>
        </w:rPr>
      </w:pPr>
      <w:r w:rsidRPr="008F524F">
        <w:rPr>
          <w:rFonts w:asciiTheme="minorHAnsi" w:eastAsiaTheme="minorHAnsi" w:hAnsiTheme="minorHAnsi"/>
          <w:color w:val="000000"/>
          <w:sz w:val="23"/>
          <w:szCs w:val="23"/>
          <w:lang w:val="en-GB"/>
        </w:rPr>
        <w:t>Art. 60(2)</w:t>
      </w:r>
      <w:r w:rsidR="001E5E46" w:rsidRPr="008F524F">
        <w:rPr>
          <w:rFonts w:asciiTheme="minorHAnsi" w:eastAsiaTheme="minorHAnsi" w:hAnsiTheme="minorHAnsi"/>
          <w:color w:val="000000"/>
          <w:sz w:val="23"/>
          <w:szCs w:val="23"/>
          <w:lang w:val="en-GB"/>
        </w:rPr>
        <w:t xml:space="preserve">(d) </w:t>
      </w:r>
      <w:r w:rsidRPr="008F524F">
        <w:rPr>
          <w:rFonts w:asciiTheme="minorHAnsi" w:eastAsiaTheme="minorHAnsi" w:hAnsiTheme="minorHAnsi"/>
          <w:color w:val="000000"/>
          <w:sz w:val="23"/>
          <w:szCs w:val="23"/>
          <w:lang w:val="en-GB"/>
        </w:rPr>
        <w:t xml:space="preserve">- </w:t>
      </w:r>
      <w:r w:rsidR="001E5E46" w:rsidRPr="008F524F">
        <w:rPr>
          <w:rFonts w:asciiTheme="minorHAnsi" w:eastAsiaTheme="minorHAnsi" w:hAnsiTheme="minorHAnsi"/>
          <w:color w:val="000000"/>
          <w:sz w:val="23"/>
          <w:szCs w:val="23"/>
          <w:lang w:val="en-GB"/>
        </w:rPr>
        <w:t xml:space="preserve">the total amount of fees and charges incurred during the reporting period, itemising at least total management fees and total costs associated with execution, and including, where relevant, a statement that a more detailed breakdown will be provided on request; </w:t>
      </w:r>
    </w:p>
    <w:p w14:paraId="46F70923" w14:textId="77777777" w:rsidR="003A60EC" w:rsidRDefault="003A60EC" w:rsidP="001E5E46">
      <w:pPr>
        <w:autoSpaceDE w:val="0"/>
        <w:autoSpaceDN w:val="0"/>
        <w:adjustRightInd w:val="0"/>
        <w:ind w:left="0"/>
        <w:rPr>
          <w:rFonts w:ascii="Times New Roman" w:eastAsiaTheme="minorHAnsi" w:hAnsi="Times New Roman"/>
          <w:color w:val="000000"/>
          <w:sz w:val="23"/>
          <w:szCs w:val="23"/>
          <w:lang w:val="en-GB"/>
        </w:rPr>
      </w:pPr>
    </w:p>
    <w:p w14:paraId="7AD063E4" w14:textId="2F1F1AEA" w:rsidR="00AC6313" w:rsidRPr="008F524F" w:rsidRDefault="00A85516" w:rsidP="001E5E46">
      <w:pPr>
        <w:autoSpaceDE w:val="0"/>
        <w:autoSpaceDN w:val="0"/>
        <w:adjustRightInd w:val="0"/>
        <w:ind w:left="0"/>
        <w:rPr>
          <w:rFonts w:asciiTheme="minorHAnsi" w:eastAsiaTheme="minorHAnsi" w:hAnsiTheme="minorHAnsi"/>
          <w:color w:val="000000"/>
          <w:sz w:val="23"/>
          <w:szCs w:val="23"/>
          <w:lang w:val="en-GB"/>
        </w:rPr>
      </w:pPr>
      <w:r w:rsidRPr="008F524F">
        <w:rPr>
          <w:rFonts w:asciiTheme="minorHAnsi" w:eastAsiaTheme="minorHAnsi" w:hAnsiTheme="minorHAnsi"/>
          <w:color w:val="000000"/>
          <w:sz w:val="23"/>
          <w:szCs w:val="23"/>
          <w:lang w:val="en-GB"/>
        </w:rPr>
        <w:t>T</w:t>
      </w:r>
      <w:r w:rsidR="00AC6313" w:rsidRPr="008F524F">
        <w:rPr>
          <w:rFonts w:asciiTheme="minorHAnsi" w:eastAsiaTheme="minorHAnsi" w:hAnsiTheme="minorHAnsi"/>
          <w:color w:val="000000"/>
          <w:sz w:val="23"/>
          <w:szCs w:val="23"/>
          <w:lang w:val="en-GB"/>
        </w:rPr>
        <w:t>he above requirement was included in MiFID I and exists as a UK regulatory requirement under the existing COBS 16 Annex 2R(4)</w:t>
      </w:r>
      <w:r w:rsidRPr="008F524F">
        <w:rPr>
          <w:rFonts w:asciiTheme="minorHAnsi" w:eastAsiaTheme="minorHAnsi" w:hAnsiTheme="minorHAnsi"/>
          <w:color w:val="000000"/>
          <w:sz w:val="23"/>
          <w:szCs w:val="23"/>
          <w:lang w:val="en-GB"/>
        </w:rPr>
        <w:t xml:space="preserve"> - therefore</w:t>
      </w:r>
      <w:r w:rsidR="00AC6313" w:rsidRPr="008F524F">
        <w:rPr>
          <w:rFonts w:asciiTheme="minorHAnsi" w:eastAsiaTheme="minorHAnsi" w:hAnsiTheme="minorHAnsi"/>
          <w:color w:val="000000"/>
          <w:sz w:val="23"/>
          <w:szCs w:val="23"/>
          <w:lang w:val="en-GB"/>
        </w:rPr>
        <w:t xml:space="preserve"> investment firms already have</w:t>
      </w:r>
      <w:r w:rsidRPr="008F524F">
        <w:rPr>
          <w:rFonts w:asciiTheme="minorHAnsi" w:eastAsiaTheme="minorHAnsi" w:hAnsiTheme="minorHAnsi"/>
          <w:color w:val="000000"/>
          <w:sz w:val="23"/>
          <w:szCs w:val="23"/>
          <w:lang w:val="en-GB"/>
        </w:rPr>
        <w:t xml:space="preserve"> to comply with the above requirement.</w:t>
      </w:r>
    </w:p>
    <w:p w14:paraId="1C845566" w14:textId="77777777" w:rsidR="00AC6313" w:rsidRPr="008F524F" w:rsidRDefault="00AC6313" w:rsidP="001E5E46">
      <w:pPr>
        <w:autoSpaceDE w:val="0"/>
        <w:autoSpaceDN w:val="0"/>
        <w:adjustRightInd w:val="0"/>
        <w:ind w:left="0"/>
        <w:rPr>
          <w:rFonts w:asciiTheme="minorHAnsi" w:eastAsiaTheme="minorHAnsi" w:hAnsiTheme="minorHAnsi"/>
          <w:color w:val="000000"/>
          <w:sz w:val="23"/>
          <w:szCs w:val="23"/>
          <w:lang w:val="en-GB"/>
        </w:rPr>
      </w:pPr>
    </w:p>
    <w:p w14:paraId="0E265C6F" w14:textId="7A705F52" w:rsidR="003A60EC" w:rsidRPr="008F524F" w:rsidRDefault="003A60EC" w:rsidP="001E5E46">
      <w:pPr>
        <w:autoSpaceDE w:val="0"/>
        <w:autoSpaceDN w:val="0"/>
        <w:adjustRightInd w:val="0"/>
        <w:ind w:left="0"/>
        <w:rPr>
          <w:rFonts w:asciiTheme="minorHAnsi" w:eastAsiaTheme="minorHAnsi" w:hAnsiTheme="minorHAnsi"/>
          <w:color w:val="000000"/>
          <w:sz w:val="23"/>
          <w:szCs w:val="23"/>
          <w:lang w:val="en-GB"/>
        </w:rPr>
      </w:pPr>
      <w:r w:rsidRPr="008F524F">
        <w:rPr>
          <w:rFonts w:asciiTheme="minorHAnsi" w:eastAsiaTheme="minorHAnsi" w:hAnsiTheme="minorHAnsi"/>
          <w:color w:val="000000"/>
          <w:sz w:val="23"/>
          <w:szCs w:val="23"/>
          <w:lang w:val="en-GB"/>
        </w:rPr>
        <w:t xml:space="preserve">ESMA has not subjected the disclosure </w:t>
      </w:r>
      <w:r w:rsidR="00AC6313" w:rsidRPr="008F524F">
        <w:rPr>
          <w:rFonts w:asciiTheme="minorHAnsi" w:eastAsiaTheme="minorHAnsi" w:hAnsiTheme="minorHAnsi"/>
          <w:color w:val="000000"/>
          <w:sz w:val="23"/>
          <w:szCs w:val="23"/>
          <w:lang w:val="en-GB"/>
        </w:rPr>
        <w:t>requirement</w:t>
      </w:r>
      <w:r w:rsidRPr="008F524F">
        <w:rPr>
          <w:rFonts w:asciiTheme="minorHAnsi" w:eastAsiaTheme="minorHAnsi" w:hAnsiTheme="minorHAnsi"/>
          <w:color w:val="000000"/>
          <w:sz w:val="23"/>
          <w:szCs w:val="23"/>
          <w:lang w:val="en-GB"/>
        </w:rPr>
        <w:t xml:space="preserve"> under Art. 60 (2)(d) to the cost disclosure requirements </w:t>
      </w:r>
      <w:r w:rsidR="00AC6313" w:rsidRPr="008F524F">
        <w:rPr>
          <w:rFonts w:asciiTheme="minorHAnsi" w:eastAsiaTheme="minorHAnsi" w:hAnsiTheme="minorHAnsi"/>
          <w:color w:val="000000"/>
          <w:sz w:val="23"/>
          <w:szCs w:val="23"/>
          <w:lang w:val="en-GB"/>
        </w:rPr>
        <w:t>of</w:t>
      </w:r>
      <w:r w:rsidRPr="008F524F">
        <w:rPr>
          <w:rFonts w:asciiTheme="minorHAnsi" w:eastAsiaTheme="minorHAnsi" w:hAnsiTheme="minorHAnsi"/>
          <w:color w:val="000000"/>
          <w:sz w:val="23"/>
          <w:szCs w:val="23"/>
          <w:lang w:val="en-GB"/>
        </w:rPr>
        <w:t xml:space="preserve"> Art. 50 of the</w:t>
      </w:r>
      <w:r w:rsidR="00AC6313" w:rsidRPr="008F524F">
        <w:rPr>
          <w:rFonts w:asciiTheme="minorHAnsi" w:eastAsiaTheme="minorHAnsi" w:hAnsiTheme="minorHAnsi"/>
          <w:color w:val="000000"/>
          <w:sz w:val="23"/>
          <w:szCs w:val="23"/>
          <w:lang w:val="en-GB"/>
        </w:rPr>
        <w:t xml:space="preserve"> MiFID II Delegated Regulation. </w:t>
      </w:r>
      <w:r w:rsidRPr="008F524F">
        <w:rPr>
          <w:rFonts w:asciiTheme="minorHAnsi" w:eastAsiaTheme="minorHAnsi" w:hAnsiTheme="minorHAnsi"/>
          <w:color w:val="000000"/>
          <w:sz w:val="23"/>
          <w:szCs w:val="23"/>
          <w:lang w:val="en-GB"/>
        </w:rPr>
        <w:t xml:space="preserve">Therefore, </w:t>
      </w:r>
      <w:r w:rsidR="00AC6313" w:rsidRPr="008F524F">
        <w:rPr>
          <w:rFonts w:asciiTheme="minorHAnsi" w:eastAsiaTheme="minorHAnsi" w:hAnsiTheme="minorHAnsi"/>
          <w:color w:val="000000"/>
          <w:sz w:val="23"/>
          <w:szCs w:val="23"/>
          <w:lang w:val="en-GB"/>
        </w:rPr>
        <w:t xml:space="preserve">investment firms </w:t>
      </w:r>
      <w:r w:rsidR="00A85516" w:rsidRPr="008F524F">
        <w:rPr>
          <w:rFonts w:asciiTheme="minorHAnsi" w:eastAsiaTheme="minorHAnsi" w:hAnsiTheme="minorHAnsi"/>
          <w:color w:val="000000"/>
          <w:sz w:val="23"/>
          <w:szCs w:val="23"/>
          <w:lang w:val="en-GB"/>
        </w:rPr>
        <w:t>are not required to amend the Art. 60(2)(d) costs disclosure in the periodic portfolio statements provided to clients on a monthly, quarterly, or annual basis.</w:t>
      </w:r>
    </w:p>
    <w:p w14:paraId="7673EB00" w14:textId="77777777" w:rsidR="003A60EC" w:rsidRPr="008F524F" w:rsidRDefault="003A60EC" w:rsidP="001E5E46">
      <w:pPr>
        <w:autoSpaceDE w:val="0"/>
        <w:autoSpaceDN w:val="0"/>
        <w:adjustRightInd w:val="0"/>
        <w:ind w:left="0"/>
        <w:rPr>
          <w:rFonts w:asciiTheme="minorHAnsi" w:eastAsiaTheme="minorHAnsi" w:hAnsiTheme="minorHAnsi"/>
          <w:color w:val="000000"/>
          <w:sz w:val="23"/>
          <w:szCs w:val="23"/>
          <w:lang w:val="en-GB"/>
        </w:rPr>
      </w:pPr>
    </w:p>
    <w:p w14:paraId="3A033FA4" w14:textId="6C9974DD" w:rsidR="0082272A" w:rsidRPr="008F524F" w:rsidRDefault="00DA63EE" w:rsidP="001E5E46">
      <w:pPr>
        <w:autoSpaceDE w:val="0"/>
        <w:autoSpaceDN w:val="0"/>
        <w:adjustRightInd w:val="0"/>
        <w:ind w:left="0"/>
        <w:rPr>
          <w:rFonts w:asciiTheme="minorHAnsi" w:eastAsiaTheme="minorHAnsi" w:hAnsiTheme="minorHAnsi"/>
          <w:color w:val="000000"/>
          <w:sz w:val="23"/>
          <w:szCs w:val="23"/>
          <w:lang w:val="en-GB"/>
        </w:rPr>
      </w:pPr>
      <w:r>
        <w:rPr>
          <w:rFonts w:asciiTheme="minorHAnsi" w:eastAsiaTheme="minorHAnsi" w:hAnsiTheme="minorHAnsi"/>
          <w:color w:val="000000"/>
          <w:sz w:val="23"/>
          <w:szCs w:val="23"/>
          <w:lang w:val="en-GB"/>
        </w:rPr>
        <w:t>Firms should note that, in</w:t>
      </w:r>
      <w:r w:rsidR="00A85516" w:rsidRPr="008F524F">
        <w:rPr>
          <w:rFonts w:asciiTheme="minorHAnsi" w:eastAsiaTheme="minorHAnsi" w:hAnsiTheme="minorHAnsi"/>
          <w:color w:val="000000"/>
          <w:sz w:val="23"/>
          <w:szCs w:val="23"/>
          <w:lang w:val="en-GB"/>
        </w:rPr>
        <w:t xml:space="preserve"> addition, </w:t>
      </w:r>
      <w:r>
        <w:rPr>
          <w:rFonts w:asciiTheme="minorHAnsi" w:eastAsiaTheme="minorHAnsi" w:hAnsiTheme="minorHAnsi"/>
          <w:color w:val="000000"/>
          <w:sz w:val="23"/>
          <w:szCs w:val="23"/>
          <w:lang w:val="en-GB"/>
        </w:rPr>
        <w:t>they</w:t>
      </w:r>
      <w:r w:rsidR="00182BC0">
        <w:rPr>
          <w:rFonts w:asciiTheme="minorHAnsi" w:eastAsiaTheme="minorHAnsi" w:hAnsiTheme="minorHAnsi"/>
          <w:color w:val="000000"/>
          <w:sz w:val="23"/>
          <w:szCs w:val="23"/>
          <w:lang w:val="en-GB"/>
        </w:rPr>
        <w:t xml:space="preserve"> </w:t>
      </w:r>
      <w:r w:rsidR="00AC6313" w:rsidRPr="008F524F">
        <w:rPr>
          <w:rFonts w:asciiTheme="minorHAnsi" w:eastAsiaTheme="minorHAnsi" w:hAnsiTheme="minorHAnsi"/>
          <w:color w:val="000000"/>
          <w:sz w:val="23"/>
          <w:szCs w:val="23"/>
          <w:lang w:val="en-GB"/>
        </w:rPr>
        <w:t xml:space="preserve">should provide the MiFID II </w:t>
      </w:r>
      <w:r w:rsidR="00A85516" w:rsidRPr="008F524F">
        <w:rPr>
          <w:rFonts w:asciiTheme="minorHAnsi" w:eastAsiaTheme="minorHAnsi" w:hAnsiTheme="minorHAnsi"/>
          <w:color w:val="000000"/>
          <w:sz w:val="23"/>
          <w:szCs w:val="23"/>
          <w:lang w:val="en-GB"/>
        </w:rPr>
        <w:t>Art</w:t>
      </w:r>
      <w:r w:rsidR="00182BC0">
        <w:rPr>
          <w:rFonts w:asciiTheme="minorHAnsi" w:eastAsiaTheme="minorHAnsi" w:hAnsiTheme="minorHAnsi"/>
          <w:color w:val="000000"/>
          <w:sz w:val="23"/>
          <w:szCs w:val="23"/>
          <w:lang w:val="en-GB"/>
        </w:rPr>
        <w:t xml:space="preserve">icle </w:t>
      </w:r>
      <w:r w:rsidR="00A85516" w:rsidRPr="008F524F">
        <w:rPr>
          <w:rFonts w:asciiTheme="minorHAnsi" w:eastAsiaTheme="minorHAnsi" w:hAnsiTheme="minorHAnsi"/>
          <w:color w:val="000000"/>
          <w:sz w:val="23"/>
          <w:szCs w:val="23"/>
          <w:lang w:val="en-GB"/>
        </w:rPr>
        <w:t xml:space="preserve">50 </w:t>
      </w:r>
      <w:r w:rsidR="00AC6313" w:rsidRPr="008F524F">
        <w:rPr>
          <w:rFonts w:asciiTheme="minorHAnsi" w:eastAsiaTheme="minorHAnsi" w:hAnsiTheme="minorHAnsi"/>
          <w:color w:val="000000"/>
          <w:sz w:val="23"/>
          <w:szCs w:val="23"/>
          <w:lang w:val="en-GB"/>
        </w:rPr>
        <w:t>costs and charges statement</w:t>
      </w:r>
      <w:r w:rsidR="00182BC0">
        <w:rPr>
          <w:rStyle w:val="FootnoteReference"/>
          <w:rFonts w:asciiTheme="minorHAnsi" w:eastAsiaTheme="minorHAnsi" w:hAnsiTheme="minorHAnsi"/>
          <w:color w:val="000000"/>
          <w:sz w:val="23"/>
          <w:szCs w:val="23"/>
          <w:lang w:val="en-GB"/>
        </w:rPr>
        <w:footnoteReference w:id="28"/>
      </w:r>
      <w:r w:rsidR="00AC6313" w:rsidRPr="008F524F">
        <w:rPr>
          <w:rFonts w:asciiTheme="minorHAnsi" w:eastAsiaTheme="minorHAnsi" w:hAnsiTheme="minorHAnsi"/>
          <w:color w:val="000000"/>
          <w:sz w:val="23"/>
          <w:szCs w:val="23"/>
          <w:lang w:val="en-GB"/>
        </w:rPr>
        <w:t xml:space="preserve"> to clients</w:t>
      </w:r>
      <w:r w:rsidR="00A85516" w:rsidRPr="008F524F">
        <w:rPr>
          <w:rFonts w:asciiTheme="minorHAnsi" w:eastAsiaTheme="minorHAnsi" w:hAnsiTheme="minorHAnsi"/>
          <w:color w:val="000000"/>
          <w:sz w:val="23"/>
          <w:szCs w:val="23"/>
          <w:lang w:val="en-GB"/>
        </w:rPr>
        <w:t xml:space="preserve"> on an annual basis</w:t>
      </w:r>
      <w:r w:rsidR="00AC6313" w:rsidRPr="008F524F">
        <w:rPr>
          <w:rFonts w:asciiTheme="minorHAnsi" w:eastAsiaTheme="minorHAnsi" w:hAnsiTheme="minorHAnsi"/>
          <w:color w:val="000000"/>
          <w:sz w:val="23"/>
          <w:szCs w:val="23"/>
          <w:lang w:val="en-GB"/>
        </w:rPr>
        <w:t xml:space="preserve"> (including the disclosure of both explicit and implicit </w:t>
      </w:r>
      <w:r w:rsidR="00A85516" w:rsidRPr="008F524F">
        <w:rPr>
          <w:rFonts w:asciiTheme="minorHAnsi" w:eastAsiaTheme="minorHAnsi" w:hAnsiTheme="minorHAnsi"/>
          <w:color w:val="000000"/>
          <w:sz w:val="23"/>
          <w:szCs w:val="23"/>
          <w:lang w:val="en-GB"/>
        </w:rPr>
        <w:t>transaction costs of the portfolio).</w:t>
      </w:r>
    </w:p>
    <w:p w14:paraId="29AD373E" w14:textId="77777777" w:rsidR="0082272A" w:rsidRPr="001E5E46" w:rsidRDefault="0082272A" w:rsidP="001E5E46">
      <w:pPr>
        <w:autoSpaceDE w:val="0"/>
        <w:autoSpaceDN w:val="0"/>
        <w:adjustRightInd w:val="0"/>
        <w:ind w:left="0"/>
        <w:rPr>
          <w:rFonts w:ascii="Times New Roman" w:eastAsiaTheme="minorHAnsi" w:hAnsi="Times New Roman"/>
          <w:color w:val="000000"/>
          <w:sz w:val="23"/>
          <w:szCs w:val="23"/>
          <w:lang w:val="en-GB"/>
        </w:rPr>
      </w:pPr>
    </w:p>
    <w:p w14:paraId="33D1E65D" w14:textId="77777777" w:rsidR="005269A5" w:rsidRDefault="005269A5" w:rsidP="00894AA2">
      <w:pPr>
        <w:ind w:left="0"/>
        <w:jc w:val="both"/>
        <w:rPr>
          <w:rFonts w:cstheme="minorHAnsi"/>
          <w:sz w:val="24"/>
        </w:rPr>
      </w:pPr>
    </w:p>
    <w:p w14:paraId="59A241F1" w14:textId="77777777" w:rsidR="005269A5" w:rsidRPr="007D53AC" w:rsidRDefault="005269A5" w:rsidP="00894AA2">
      <w:pPr>
        <w:ind w:left="0"/>
        <w:jc w:val="both"/>
        <w:rPr>
          <w:rFonts w:asciiTheme="minorHAnsi" w:hAnsiTheme="minorHAnsi" w:cstheme="minorHAnsi"/>
          <w:szCs w:val="22"/>
        </w:rPr>
      </w:pPr>
    </w:p>
    <w:p w14:paraId="71A22A90" w14:textId="33FBBE34" w:rsidR="005269A5" w:rsidRPr="002E45F4" w:rsidRDefault="005269A5" w:rsidP="008F524F">
      <w:pPr>
        <w:pStyle w:val="Heading3"/>
        <w:ind w:left="709"/>
        <w:jc w:val="both"/>
        <w:rPr>
          <w:rFonts w:ascii="Calibri" w:hAnsi="Calibri"/>
          <w:color w:val="auto"/>
          <w:sz w:val="24"/>
          <w:szCs w:val="24"/>
        </w:rPr>
      </w:pPr>
      <w:bookmarkStart w:id="585" w:name="_Toc366502101"/>
      <w:bookmarkStart w:id="586" w:name="_Toc369907882"/>
      <w:bookmarkStart w:id="587" w:name="_Toc370052399"/>
      <w:bookmarkStart w:id="588" w:name="_Toc372234547"/>
      <w:bookmarkStart w:id="589" w:name="_Toc395871075"/>
      <w:bookmarkStart w:id="590" w:name="_Toc409468242"/>
      <w:r w:rsidRPr="002E45F4">
        <w:rPr>
          <w:rFonts w:ascii="Calibri" w:hAnsi="Calibri"/>
          <w:color w:val="auto"/>
          <w:sz w:val="24"/>
          <w:szCs w:val="24"/>
        </w:rPr>
        <w:t>FCA institutional disclosure reporting</w:t>
      </w:r>
      <w:r w:rsidR="004D78CB" w:rsidRPr="002E45F4">
        <w:rPr>
          <w:rFonts w:ascii="Calibri" w:hAnsi="Calibri"/>
          <w:color w:val="auto"/>
          <w:szCs w:val="24"/>
          <w:vertAlign w:val="superscript"/>
        </w:rPr>
        <w:footnoteReference w:id="29"/>
      </w:r>
      <w:bookmarkEnd w:id="585"/>
      <w:bookmarkEnd w:id="586"/>
      <w:bookmarkEnd w:id="587"/>
      <w:bookmarkEnd w:id="588"/>
      <w:bookmarkEnd w:id="589"/>
      <w:bookmarkEnd w:id="590"/>
    </w:p>
    <w:p w14:paraId="7547BCBD" w14:textId="77777777" w:rsidR="005269A5" w:rsidRDefault="005269A5" w:rsidP="00894AA2">
      <w:pPr>
        <w:ind w:left="1440"/>
        <w:jc w:val="both"/>
        <w:rPr>
          <w:rFonts w:asciiTheme="minorHAnsi" w:hAnsiTheme="minorHAnsi" w:cstheme="minorHAnsi"/>
          <w:sz w:val="24"/>
        </w:rPr>
      </w:pPr>
    </w:p>
    <w:p w14:paraId="481FC08F" w14:textId="32671553" w:rsidR="00BF1805" w:rsidRPr="001F5422" w:rsidRDefault="004D78CB" w:rsidP="00894AA2">
      <w:pPr>
        <w:jc w:val="both"/>
        <w:rPr>
          <w:rFonts w:asciiTheme="minorHAnsi" w:hAnsiTheme="minorHAnsi" w:cstheme="minorHAnsi"/>
          <w:szCs w:val="22"/>
        </w:rPr>
      </w:pPr>
      <w:r w:rsidRPr="001F5422">
        <w:rPr>
          <w:rFonts w:asciiTheme="minorHAnsi" w:hAnsiTheme="minorHAnsi" w:cstheme="minorHAnsi"/>
          <w:szCs w:val="22"/>
        </w:rPr>
        <w:t>In addition to the MiFID II costs and charges</w:t>
      </w:r>
      <w:r w:rsidR="00BF1805" w:rsidRPr="001F5422">
        <w:rPr>
          <w:rFonts w:asciiTheme="minorHAnsi" w:hAnsiTheme="minorHAnsi" w:cstheme="minorHAnsi"/>
          <w:szCs w:val="22"/>
        </w:rPr>
        <w:t xml:space="preserve"> requirements, the FCA has stated in its Asset Management Market Study (Final Report) that they</w:t>
      </w:r>
      <w:r w:rsidRPr="001F5422">
        <w:rPr>
          <w:rFonts w:asciiTheme="minorHAnsi" w:hAnsiTheme="minorHAnsi" w:cstheme="minorHAnsi"/>
          <w:szCs w:val="22"/>
        </w:rPr>
        <w:t xml:space="preserve"> support consistent and standardised disclosure of costs and charges to institutional investors.</w:t>
      </w:r>
      <w:r w:rsidR="00BF1805" w:rsidRPr="001F5422">
        <w:rPr>
          <w:rFonts w:asciiTheme="minorHAnsi" w:hAnsiTheme="minorHAnsi" w:cstheme="minorHAnsi"/>
          <w:szCs w:val="22"/>
        </w:rPr>
        <w:t xml:space="preserve">  The FCA</w:t>
      </w:r>
      <w:r w:rsidRPr="001F5422">
        <w:rPr>
          <w:rFonts w:asciiTheme="minorHAnsi" w:hAnsiTheme="minorHAnsi" w:cstheme="minorHAnsi"/>
          <w:szCs w:val="22"/>
        </w:rPr>
        <w:t xml:space="preserve"> recommend</w:t>
      </w:r>
      <w:r w:rsidR="00BF1805" w:rsidRPr="001F5422">
        <w:rPr>
          <w:rFonts w:asciiTheme="minorHAnsi" w:hAnsiTheme="minorHAnsi" w:cstheme="minorHAnsi"/>
          <w:szCs w:val="22"/>
        </w:rPr>
        <w:t xml:space="preserve">s </w:t>
      </w:r>
      <w:r w:rsidRPr="001F5422">
        <w:rPr>
          <w:rFonts w:asciiTheme="minorHAnsi" w:hAnsiTheme="minorHAnsi" w:cstheme="minorHAnsi"/>
          <w:szCs w:val="22"/>
        </w:rPr>
        <w:t xml:space="preserve">that both industry and investor representatives agree a standardised template of costs and charges and </w:t>
      </w:r>
      <w:r w:rsidR="00BF1805" w:rsidRPr="001F5422">
        <w:rPr>
          <w:rFonts w:asciiTheme="minorHAnsi" w:hAnsiTheme="minorHAnsi" w:cstheme="minorHAnsi"/>
          <w:szCs w:val="22"/>
        </w:rPr>
        <w:t>they have asked</w:t>
      </w:r>
      <w:r w:rsidRPr="001F5422">
        <w:rPr>
          <w:rFonts w:asciiTheme="minorHAnsi" w:hAnsiTheme="minorHAnsi" w:cstheme="minorHAnsi"/>
          <w:szCs w:val="22"/>
        </w:rPr>
        <w:t xml:space="preserve"> an independent person to convene a group of relevant stakeholders to</w:t>
      </w:r>
      <w:r w:rsidRPr="005A7D1A">
        <w:rPr>
          <w:szCs w:val="22"/>
        </w:rPr>
        <w:t xml:space="preserve"> </w:t>
      </w:r>
      <w:r w:rsidRPr="001F5422">
        <w:rPr>
          <w:rFonts w:asciiTheme="minorHAnsi" w:hAnsiTheme="minorHAnsi" w:cstheme="minorHAnsi"/>
          <w:szCs w:val="22"/>
        </w:rPr>
        <w:t xml:space="preserve">develop this further. Following this, </w:t>
      </w:r>
      <w:r w:rsidR="00BF1805" w:rsidRPr="001F5422">
        <w:rPr>
          <w:rFonts w:asciiTheme="minorHAnsi" w:hAnsiTheme="minorHAnsi" w:cstheme="minorHAnsi"/>
          <w:szCs w:val="22"/>
        </w:rPr>
        <w:t>the FCA</w:t>
      </w:r>
      <w:r w:rsidRPr="001F5422">
        <w:rPr>
          <w:rFonts w:asciiTheme="minorHAnsi" w:hAnsiTheme="minorHAnsi" w:cstheme="minorHAnsi"/>
          <w:szCs w:val="22"/>
        </w:rPr>
        <w:t xml:space="preserve"> </w:t>
      </w:r>
      <w:r w:rsidR="00BF1805" w:rsidRPr="001F5422">
        <w:rPr>
          <w:rFonts w:asciiTheme="minorHAnsi" w:hAnsiTheme="minorHAnsi" w:cstheme="minorHAnsi"/>
          <w:szCs w:val="22"/>
        </w:rPr>
        <w:t xml:space="preserve">intends to </w:t>
      </w:r>
      <w:r w:rsidRPr="001F5422">
        <w:rPr>
          <w:rFonts w:asciiTheme="minorHAnsi" w:hAnsiTheme="minorHAnsi" w:cstheme="minorHAnsi"/>
          <w:szCs w:val="22"/>
        </w:rPr>
        <w:t>work with these stakeholders to consider whether any other actions are necessary to ensure that institutional investors get the information they need to make effective decisions.</w:t>
      </w:r>
      <w:r w:rsidR="00E86378" w:rsidRPr="001F5422">
        <w:rPr>
          <w:rStyle w:val="FootnoteReference"/>
          <w:rFonts w:asciiTheme="minorHAnsi" w:hAnsiTheme="minorHAnsi" w:cstheme="minorHAnsi"/>
          <w:szCs w:val="22"/>
        </w:rPr>
        <w:footnoteReference w:id="30"/>
      </w:r>
    </w:p>
    <w:p w14:paraId="115227B1" w14:textId="77777777" w:rsidR="00D05EAE" w:rsidRDefault="00D05EAE" w:rsidP="00894AA2">
      <w:pPr>
        <w:jc w:val="both"/>
        <w:rPr>
          <w:rFonts w:asciiTheme="minorHAnsi" w:hAnsiTheme="minorHAnsi" w:cstheme="minorHAnsi"/>
          <w:sz w:val="24"/>
        </w:rPr>
      </w:pPr>
    </w:p>
    <w:p w14:paraId="51FCE910" w14:textId="77777777" w:rsidR="005A7D1A" w:rsidRDefault="00D05EAE" w:rsidP="00894AA2">
      <w:pPr>
        <w:jc w:val="both"/>
        <w:rPr>
          <w:rFonts w:asciiTheme="minorHAnsi" w:hAnsiTheme="minorHAnsi" w:cstheme="minorHAnsi"/>
          <w:szCs w:val="22"/>
        </w:rPr>
      </w:pPr>
      <w:r w:rsidRPr="001F5422">
        <w:rPr>
          <w:rFonts w:asciiTheme="minorHAnsi" w:hAnsiTheme="minorHAnsi" w:cstheme="minorHAnsi"/>
          <w:szCs w:val="22"/>
        </w:rPr>
        <w:lastRenderedPageBreak/>
        <w:t>The I</w:t>
      </w:r>
      <w:r w:rsidR="008A7AC2" w:rsidRPr="001F5422">
        <w:rPr>
          <w:rFonts w:asciiTheme="minorHAnsi" w:hAnsiTheme="minorHAnsi" w:cstheme="minorHAnsi"/>
          <w:szCs w:val="22"/>
        </w:rPr>
        <w:t>nstitutional Disclosure Working Group (I</w:t>
      </w:r>
      <w:r w:rsidRPr="001F5422">
        <w:rPr>
          <w:rFonts w:asciiTheme="minorHAnsi" w:hAnsiTheme="minorHAnsi" w:cstheme="minorHAnsi"/>
          <w:szCs w:val="22"/>
        </w:rPr>
        <w:t>DWG</w:t>
      </w:r>
      <w:r w:rsidR="008A7AC2" w:rsidRPr="001F5422">
        <w:rPr>
          <w:rFonts w:asciiTheme="minorHAnsi" w:hAnsiTheme="minorHAnsi" w:cstheme="minorHAnsi"/>
          <w:szCs w:val="22"/>
        </w:rPr>
        <w:t>)</w:t>
      </w:r>
      <w:r w:rsidRPr="001F5422">
        <w:rPr>
          <w:rFonts w:asciiTheme="minorHAnsi" w:hAnsiTheme="minorHAnsi" w:cstheme="minorHAnsi"/>
          <w:szCs w:val="22"/>
        </w:rPr>
        <w:t xml:space="preserve"> </w:t>
      </w:r>
      <w:r w:rsidR="008A7AC2" w:rsidRPr="001F5422">
        <w:rPr>
          <w:rFonts w:asciiTheme="minorHAnsi" w:hAnsiTheme="minorHAnsi" w:cstheme="minorHAnsi"/>
          <w:szCs w:val="22"/>
        </w:rPr>
        <w:t>reported their recommendations to the FCA in the summer of 2018.</w:t>
      </w:r>
      <w:r w:rsidR="008A7AC2" w:rsidRPr="001F5422">
        <w:rPr>
          <w:rStyle w:val="FootnoteReference"/>
          <w:rFonts w:asciiTheme="minorHAnsi" w:hAnsiTheme="minorHAnsi" w:cstheme="minorHAnsi"/>
          <w:szCs w:val="22"/>
        </w:rPr>
        <w:footnoteReference w:id="31"/>
      </w:r>
      <w:r w:rsidR="008A7AC2" w:rsidRPr="001F5422">
        <w:rPr>
          <w:rFonts w:asciiTheme="minorHAnsi" w:hAnsiTheme="minorHAnsi" w:cstheme="minorHAnsi"/>
          <w:szCs w:val="22"/>
        </w:rPr>
        <w:t xml:space="preserve">  The FCA accepted them and supported the launch of </w:t>
      </w:r>
      <w:r w:rsidRPr="001F5422">
        <w:rPr>
          <w:rFonts w:asciiTheme="minorHAnsi" w:hAnsiTheme="minorHAnsi" w:cstheme="minorHAnsi"/>
          <w:szCs w:val="22"/>
        </w:rPr>
        <w:t>the Cost Transparency Initiative (CTI)</w:t>
      </w:r>
      <w:r w:rsidR="008A7AC2" w:rsidRPr="001F5422">
        <w:rPr>
          <w:rFonts w:asciiTheme="minorHAnsi" w:hAnsiTheme="minorHAnsi" w:cstheme="minorHAnsi"/>
          <w:szCs w:val="22"/>
        </w:rPr>
        <w:t xml:space="preserve"> in November 2018.</w:t>
      </w:r>
      <w:r w:rsidR="008A7AC2" w:rsidRPr="001F5422">
        <w:rPr>
          <w:rStyle w:val="FootnoteReference"/>
          <w:rFonts w:asciiTheme="minorHAnsi" w:hAnsiTheme="minorHAnsi" w:cstheme="minorHAnsi"/>
          <w:szCs w:val="22"/>
        </w:rPr>
        <w:footnoteReference w:id="32"/>
      </w:r>
      <w:r w:rsidRPr="001F5422">
        <w:rPr>
          <w:rFonts w:asciiTheme="minorHAnsi" w:hAnsiTheme="minorHAnsi" w:cstheme="minorHAnsi"/>
          <w:szCs w:val="22"/>
        </w:rPr>
        <w:t xml:space="preserve"> </w:t>
      </w:r>
    </w:p>
    <w:p w14:paraId="224E2495" w14:textId="77777777" w:rsidR="005A7D1A" w:rsidRDefault="005A7D1A" w:rsidP="00894AA2">
      <w:pPr>
        <w:jc w:val="both"/>
        <w:rPr>
          <w:rFonts w:asciiTheme="minorHAnsi" w:hAnsiTheme="minorHAnsi" w:cstheme="minorHAnsi"/>
          <w:szCs w:val="22"/>
        </w:rPr>
      </w:pPr>
    </w:p>
    <w:p w14:paraId="3D0AF81B" w14:textId="6E85E925" w:rsidR="005A7D1A" w:rsidRPr="001F5422" w:rsidRDefault="008A7AC2" w:rsidP="00894AA2">
      <w:pPr>
        <w:jc w:val="both"/>
        <w:rPr>
          <w:rFonts w:asciiTheme="minorHAnsi" w:hAnsiTheme="minorHAnsi" w:cstheme="minorHAnsi"/>
          <w:szCs w:val="22"/>
        </w:rPr>
      </w:pPr>
      <w:r w:rsidRPr="001F5422">
        <w:rPr>
          <w:rFonts w:asciiTheme="minorHAnsi" w:hAnsiTheme="minorHAnsi" w:cstheme="minorHAnsi"/>
          <w:szCs w:val="22"/>
        </w:rPr>
        <w:t>The CTI is developing templates for costs reporting</w:t>
      </w:r>
      <w:r w:rsidR="005A7D1A" w:rsidRPr="001F5422">
        <w:rPr>
          <w:rStyle w:val="FootnoteReference"/>
          <w:rFonts w:asciiTheme="minorHAnsi" w:hAnsiTheme="minorHAnsi" w:cstheme="minorHAnsi"/>
          <w:szCs w:val="22"/>
        </w:rPr>
        <w:footnoteReference w:id="33"/>
      </w:r>
      <w:r w:rsidRPr="001F5422">
        <w:rPr>
          <w:rFonts w:asciiTheme="minorHAnsi" w:hAnsiTheme="minorHAnsi" w:cstheme="minorHAnsi"/>
          <w:szCs w:val="22"/>
        </w:rPr>
        <w:t xml:space="preserve"> and firms should consider these in developing reports for institutional clients</w:t>
      </w:r>
      <w:r w:rsidR="005A7D1A" w:rsidRPr="001F5422">
        <w:rPr>
          <w:rFonts w:asciiTheme="minorHAnsi" w:hAnsiTheme="minorHAnsi" w:cstheme="minorHAnsi"/>
          <w:szCs w:val="22"/>
        </w:rPr>
        <w:t xml:space="preserve">. </w:t>
      </w:r>
    </w:p>
    <w:p w14:paraId="7FB3E9B7" w14:textId="77777777" w:rsidR="005A7D1A" w:rsidRPr="001F5422" w:rsidRDefault="005A7D1A" w:rsidP="00894AA2">
      <w:pPr>
        <w:jc w:val="both"/>
        <w:rPr>
          <w:rFonts w:asciiTheme="minorHAnsi" w:hAnsiTheme="minorHAnsi" w:cstheme="minorHAnsi"/>
          <w:szCs w:val="22"/>
        </w:rPr>
      </w:pPr>
    </w:p>
    <w:p w14:paraId="65F08443" w14:textId="40F5BBD1" w:rsidR="00D05EAE" w:rsidRPr="001F5422" w:rsidRDefault="005A7D1A" w:rsidP="00894AA2">
      <w:pPr>
        <w:jc w:val="both"/>
        <w:rPr>
          <w:rFonts w:asciiTheme="minorHAnsi" w:hAnsiTheme="minorHAnsi" w:cstheme="minorHAnsi"/>
          <w:szCs w:val="22"/>
        </w:rPr>
      </w:pPr>
      <w:r w:rsidRPr="001F5422">
        <w:rPr>
          <w:rFonts w:asciiTheme="minorHAnsi" w:hAnsiTheme="minorHAnsi" w:cstheme="minorHAnsi"/>
          <w:szCs w:val="22"/>
        </w:rPr>
        <w:t>It should be noted that</w:t>
      </w:r>
      <w:r w:rsidR="008A7AC2" w:rsidRPr="001F5422">
        <w:rPr>
          <w:rFonts w:asciiTheme="minorHAnsi" w:hAnsiTheme="minorHAnsi" w:cstheme="minorHAnsi"/>
          <w:szCs w:val="22"/>
        </w:rPr>
        <w:t xml:space="preserve"> the draft templates to date </w:t>
      </w:r>
      <w:r w:rsidRPr="001F5422">
        <w:rPr>
          <w:rFonts w:asciiTheme="minorHAnsi" w:hAnsiTheme="minorHAnsi" w:cstheme="minorHAnsi"/>
          <w:szCs w:val="22"/>
        </w:rPr>
        <w:t xml:space="preserve">on their own </w:t>
      </w:r>
      <w:r w:rsidR="008A7AC2" w:rsidRPr="001F5422">
        <w:rPr>
          <w:rFonts w:asciiTheme="minorHAnsi" w:hAnsiTheme="minorHAnsi" w:cstheme="minorHAnsi"/>
          <w:szCs w:val="22"/>
        </w:rPr>
        <w:t>do not fully meet the requirements of M</w:t>
      </w:r>
      <w:r w:rsidRPr="001F5422">
        <w:rPr>
          <w:rFonts w:asciiTheme="minorHAnsi" w:hAnsiTheme="minorHAnsi" w:cstheme="minorHAnsi"/>
          <w:szCs w:val="22"/>
        </w:rPr>
        <w:t>iFID II, as they do not show the total costs as a single figure, or a percentage, nor show the cumulative effect of costs and charges on returns, as required by the Directive</w:t>
      </w:r>
      <w:r>
        <w:rPr>
          <w:rFonts w:asciiTheme="minorHAnsi" w:hAnsiTheme="minorHAnsi" w:cstheme="minorHAnsi"/>
          <w:szCs w:val="22"/>
        </w:rPr>
        <w:t xml:space="preserve"> and Delegated Regulation</w:t>
      </w:r>
      <w:r w:rsidRPr="001F5422">
        <w:rPr>
          <w:rFonts w:asciiTheme="minorHAnsi" w:hAnsiTheme="minorHAnsi" w:cstheme="minorHAnsi"/>
          <w:szCs w:val="22"/>
        </w:rPr>
        <w:t>.</w:t>
      </w:r>
      <w:r w:rsidR="00FE33FF">
        <w:rPr>
          <w:rStyle w:val="FootnoteReference"/>
          <w:rFonts w:asciiTheme="minorHAnsi" w:hAnsiTheme="minorHAnsi" w:cstheme="minorHAnsi"/>
          <w:szCs w:val="22"/>
        </w:rPr>
        <w:footnoteReference w:id="34"/>
      </w:r>
      <w:r w:rsidRPr="001F5422">
        <w:rPr>
          <w:rFonts w:asciiTheme="minorHAnsi" w:hAnsiTheme="minorHAnsi" w:cstheme="minorHAnsi"/>
          <w:szCs w:val="22"/>
        </w:rPr>
        <w:t xml:space="preserve"> </w:t>
      </w:r>
    </w:p>
    <w:p w14:paraId="44FD85C7" w14:textId="77777777" w:rsidR="00CD78E9" w:rsidRDefault="00CD78E9" w:rsidP="00894AA2">
      <w:pPr>
        <w:jc w:val="both"/>
        <w:rPr>
          <w:rFonts w:cstheme="minorHAnsi"/>
          <w:b/>
          <w:sz w:val="24"/>
        </w:rPr>
      </w:pPr>
      <w:r>
        <w:rPr>
          <w:rFonts w:cstheme="minorHAnsi"/>
          <w:b/>
          <w:sz w:val="24"/>
        </w:rPr>
        <w:br w:type="page"/>
      </w:r>
    </w:p>
    <w:p w14:paraId="2F484130" w14:textId="77777777" w:rsidR="00580A4F" w:rsidRDefault="00580A4F" w:rsidP="00290BE6">
      <w:pPr>
        <w:ind w:left="0"/>
        <w:rPr>
          <w:rFonts w:cstheme="minorHAnsi"/>
          <w:b/>
          <w:sz w:val="24"/>
        </w:rPr>
      </w:pPr>
    </w:p>
    <w:p w14:paraId="7A475ED9" w14:textId="5D4E34C8" w:rsidR="00E934D5" w:rsidRDefault="00E934D5" w:rsidP="00CD78E9">
      <w:pPr>
        <w:rPr>
          <w:rFonts w:cstheme="minorHAnsi"/>
          <w:b/>
          <w:sz w:val="24"/>
        </w:rPr>
      </w:pPr>
    </w:p>
    <w:p w14:paraId="058702E2" w14:textId="40D7FD5D" w:rsidR="006544AE" w:rsidRPr="00331B33" w:rsidRDefault="006544AE" w:rsidP="006544AE">
      <w:pPr>
        <w:pStyle w:val="Heading1"/>
        <w:rPr>
          <w:rFonts w:asciiTheme="minorHAnsi" w:hAnsiTheme="minorHAnsi"/>
          <w:b/>
          <w:bCs/>
          <w:color w:val="auto"/>
          <w:sz w:val="28"/>
          <w:szCs w:val="28"/>
        </w:rPr>
      </w:pPr>
      <w:bookmarkStart w:id="591" w:name="_Toc364343171"/>
      <w:bookmarkStart w:id="592" w:name="_Toc364343357"/>
      <w:bookmarkStart w:id="593" w:name="_Toc364343716"/>
      <w:bookmarkStart w:id="594" w:name="_Toc364635781"/>
      <w:bookmarkStart w:id="595" w:name="_Toc364636173"/>
      <w:bookmarkStart w:id="596" w:name="_Toc364636609"/>
      <w:bookmarkStart w:id="597" w:name="_Toc366502102"/>
      <w:bookmarkStart w:id="598" w:name="_Toc369907883"/>
      <w:bookmarkStart w:id="599" w:name="_Toc370052400"/>
      <w:bookmarkStart w:id="600" w:name="_Toc372234548"/>
      <w:bookmarkStart w:id="601" w:name="_Toc395871076"/>
      <w:bookmarkStart w:id="602" w:name="_Toc409468243"/>
      <w:r w:rsidRPr="00331B33">
        <w:rPr>
          <w:rFonts w:asciiTheme="minorHAnsi" w:hAnsiTheme="minorHAnsi"/>
          <w:b/>
          <w:bCs/>
          <w:color w:val="auto"/>
          <w:sz w:val="28"/>
          <w:szCs w:val="28"/>
        </w:rPr>
        <w:t>Guide to categorising cost and charges</w:t>
      </w:r>
      <w:bookmarkEnd w:id="591"/>
      <w:bookmarkEnd w:id="592"/>
      <w:bookmarkEnd w:id="593"/>
      <w:bookmarkEnd w:id="594"/>
      <w:bookmarkEnd w:id="595"/>
      <w:bookmarkEnd w:id="596"/>
      <w:bookmarkEnd w:id="597"/>
      <w:bookmarkEnd w:id="598"/>
      <w:bookmarkEnd w:id="599"/>
      <w:bookmarkEnd w:id="600"/>
      <w:bookmarkEnd w:id="601"/>
      <w:bookmarkEnd w:id="602"/>
    </w:p>
    <w:p w14:paraId="27863BD8" w14:textId="77777777" w:rsidR="006544AE" w:rsidRDefault="006544AE" w:rsidP="006544AE">
      <w:pPr>
        <w:rPr>
          <w:rFonts w:cstheme="minorHAnsi"/>
          <w:b/>
          <w:sz w:val="24"/>
        </w:rPr>
      </w:pPr>
    </w:p>
    <w:p w14:paraId="0C92078A" w14:textId="46FD17D3" w:rsidR="004B6DD7" w:rsidRPr="002E45F4" w:rsidRDefault="004B6DD7" w:rsidP="00894AA2">
      <w:pPr>
        <w:spacing w:line="276" w:lineRule="auto"/>
        <w:jc w:val="both"/>
        <w:rPr>
          <w:rFonts w:asciiTheme="minorHAnsi" w:hAnsiTheme="minorHAnsi" w:cstheme="minorHAnsi"/>
          <w:szCs w:val="22"/>
        </w:rPr>
      </w:pPr>
      <w:r w:rsidRPr="002E45F4">
        <w:rPr>
          <w:rFonts w:asciiTheme="minorHAnsi" w:hAnsiTheme="minorHAnsi" w:cstheme="minorHAnsi"/>
          <w:szCs w:val="22"/>
        </w:rPr>
        <w:t>This section details the types of Investment service and financial instruments costs that would be classified into one</w:t>
      </w:r>
      <w:r w:rsidR="003566C9">
        <w:rPr>
          <w:rFonts w:asciiTheme="minorHAnsi" w:hAnsiTheme="minorHAnsi" w:cstheme="minorHAnsi"/>
          <w:szCs w:val="22"/>
        </w:rPr>
        <w:t>-</w:t>
      </w:r>
      <w:r w:rsidRPr="002E45F4">
        <w:rPr>
          <w:rFonts w:asciiTheme="minorHAnsi" w:hAnsiTheme="minorHAnsi" w:cstheme="minorHAnsi"/>
          <w:szCs w:val="22"/>
        </w:rPr>
        <w:t>off costs, ongoing charges, transaction costs, ancillary services and incidental costs.</w:t>
      </w:r>
    </w:p>
    <w:p w14:paraId="5937ECFB" w14:textId="77777777" w:rsidR="004B6DD7" w:rsidRPr="002E45F4" w:rsidRDefault="004B6DD7" w:rsidP="00894AA2">
      <w:pPr>
        <w:spacing w:line="276" w:lineRule="auto"/>
        <w:jc w:val="both"/>
        <w:rPr>
          <w:rFonts w:asciiTheme="minorHAnsi" w:hAnsiTheme="minorHAnsi" w:cstheme="minorHAnsi"/>
          <w:szCs w:val="22"/>
        </w:rPr>
      </w:pPr>
    </w:p>
    <w:p w14:paraId="567E08B2" w14:textId="1AE40D15" w:rsidR="00634A1B" w:rsidRDefault="004B6DD7" w:rsidP="00894AA2">
      <w:pPr>
        <w:spacing w:line="276" w:lineRule="auto"/>
        <w:jc w:val="both"/>
        <w:rPr>
          <w:rFonts w:asciiTheme="minorHAnsi" w:hAnsiTheme="minorHAnsi" w:cstheme="minorHAnsi"/>
          <w:szCs w:val="22"/>
        </w:rPr>
      </w:pPr>
      <w:r w:rsidRPr="002E45F4">
        <w:rPr>
          <w:rFonts w:asciiTheme="minorHAnsi" w:hAnsiTheme="minorHAnsi" w:cstheme="minorHAnsi"/>
          <w:szCs w:val="22"/>
        </w:rPr>
        <w:t>For further information please refer to Annex II of the MiFID II Delegated Regulation</w:t>
      </w:r>
      <w:r w:rsidR="00634A1B">
        <w:rPr>
          <w:rFonts w:asciiTheme="minorHAnsi" w:hAnsiTheme="minorHAnsi" w:cstheme="minorHAnsi"/>
          <w:szCs w:val="22"/>
        </w:rPr>
        <w:t xml:space="preserve"> as per </w:t>
      </w:r>
      <w:r w:rsidR="00634A1B" w:rsidRPr="00EC5EBD">
        <w:rPr>
          <w:rFonts w:asciiTheme="minorHAnsi" w:hAnsiTheme="minorHAnsi" w:cstheme="minorHAnsi"/>
          <w:szCs w:val="22"/>
        </w:rPr>
        <w:t>Sections 3.2.2 and 3.2.3.</w:t>
      </w:r>
    </w:p>
    <w:p w14:paraId="46F0B1DC" w14:textId="77777777" w:rsidR="00634A1B" w:rsidRDefault="00634A1B" w:rsidP="004B6DD7">
      <w:pPr>
        <w:rPr>
          <w:rFonts w:asciiTheme="minorHAnsi" w:hAnsiTheme="minorHAnsi" w:cstheme="minorHAnsi"/>
          <w:szCs w:val="22"/>
        </w:rPr>
      </w:pPr>
    </w:p>
    <w:p w14:paraId="63B29998" w14:textId="77777777" w:rsidR="006544AE" w:rsidRPr="00290BE6" w:rsidRDefault="006544AE" w:rsidP="00182BC0">
      <w:pPr>
        <w:pStyle w:val="Heading3"/>
        <w:ind w:left="709"/>
        <w:rPr>
          <w:rFonts w:asciiTheme="minorHAnsi" w:hAnsiTheme="minorHAnsi"/>
          <w:color w:val="auto"/>
          <w:sz w:val="24"/>
          <w:szCs w:val="24"/>
        </w:rPr>
      </w:pPr>
      <w:bookmarkStart w:id="603" w:name="_Toc364343172"/>
      <w:bookmarkStart w:id="604" w:name="_Toc364343358"/>
      <w:bookmarkStart w:id="605" w:name="_Toc364343717"/>
      <w:bookmarkStart w:id="606" w:name="_Toc364635782"/>
      <w:bookmarkStart w:id="607" w:name="_Toc364636174"/>
      <w:bookmarkStart w:id="608" w:name="_Toc364636610"/>
      <w:bookmarkStart w:id="609" w:name="_Toc366502103"/>
      <w:bookmarkStart w:id="610" w:name="_Toc369907884"/>
      <w:bookmarkStart w:id="611" w:name="_Toc370052401"/>
      <w:bookmarkStart w:id="612" w:name="_Toc372234549"/>
      <w:bookmarkStart w:id="613" w:name="_Toc395871077"/>
      <w:bookmarkStart w:id="614" w:name="_Toc409468244"/>
      <w:r w:rsidRPr="00290BE6">
        <w:rPr>
          <w:rFonts w:asciiTheme="minorHAnsi" w:hAnsiTheme="minorHAnsi"/>
          <w:color w:val="auto"/>
          <w:sz w:val="24"/>
          <w:szCs w:val="24"/>
        </w:rPr>
        <w:t xml:space="preserve">What information can </w:t>
      </w:r>
      <w:r>
        <w:rPr>
          <w:rFonts w:asciiTheme="minorHAnsi" w:hAnsiTheme="minorHAnsi"/>
          <w:color w:val="auto"/>
          <w:sz w:val="24"/>
          <w:szCs w:val="24"/>
        </w:rPr>
        <w:t xml:space="preserve">be sourced </w:t>
      </w:r>
      <w:r w:rsidRPr="00290BE6">
        <w:rPr>
          <w:rFonts w:asciiTheme="minorHAnsi" w:hAnsiTheme="minorHAnsi"/>
          <w:color w:val="auto"/>
          <w:sz w:val="24"/>
          <w:szCs w:val="24"/>
        </w:rPr>
        <w:t>from the administrator</w:t>
      </w:r>
      <w:r>
        <w:rPr>
          <w:rFonts w:asciiTheme="minorHAnsi" w:hAnsiTheme="minorHAnsi"/>
          <w:color w:val="auto"/>
          <w:sz w:val="24"/>
          <w:szCs w:val="24"/>
        </w:rPr>
        <w:t>s?</w:t>
      </w:r>
      <w:bookmarkEnd w:id="603"/>
      <w:bookmarkEnd w:id="604"/>
      <w:bookmarkEnd w:id="605"/>
      <w:bookmarkEnd w:id="606"/>
      <w:bookmarkEnd w:id="607"/>
      <w:bookmarkEnd w:id="608"/>
      <w:bookmarkEnd w:id="609"/>
      <w:bookmarkEnd w:id="610"/>
      <w:bookmarkEnd w:id="611"/>
      <w:bookmarkEnd w:id="612"/>
      <w:bookmarkEnd w:id="613"/>
      <w:bookmarkEnd w:id="614"/>
    </w:p>
    <w:p w14:paraId="55BB4B09" w14:textId="77777777" w:rsidR="006544AE" w:rsidRDefault="006544AE" w:rsidP="006544AE">
      <w:pPr>
        <w:rPr>
          <w:rFonts w:cstheme="minorHAnsi"/>
          <w:sz w:val="24"/>
        </w:rPr>
      </w:pPr>
    </w:p>
    <w:p w14:paraId="6202F9D4" w14:textId="096D3808" w:rsidR="00BF1805" w:rsidRPr="000368AA" w:rsidRDefault="006544AE" w:rsidP="002E45F4">
      <w:pPr>
        <w:spacing w:line="276" w:lineRule="auto"/>
        <w:jc w:val="both"/>
        <w:rPr>
          <w:rFonts w:asciiTheme="minorHAnsi" w:hAnsiTheme="minorHAnsi" w:cstheme="minorHAnsi"/>
          <w:szCs w:val="22"/>
        </w:rPr>
      </w:pPr>
      <w:r w:rsidRPr="000368AA">
        <w:rPr>
          <w:rFonts w:asciiTheme="minorHAnsi" w:hAnsiTheme="minorHAnsi" w:cstheme="minorHAnsi"/>
          <w:szCs w:val="22"/>
        </w:rPr>
        <w:t xml:space="preserve">The Ongoing Charges Figure (OCF) or the Total Expense Ratio (TER) excluding performance fees </w:t>
      </w:r>
      <w:r>
        <w:rPr>
          <w:rFonts w:asciiTheme="minorHAnsi" w:hAnsiTheme="minorHAnsi" w:cstheme="minorHAnsi"/>
          <w:szCs w:val="22"/>
        </w:rPr>
        <w:t xml:space="preserve">can be used as the building </w:t>
      </w:r>
      <w:r w:rsidR="00F96659">
        <w:rPr>
          <w:rFonts w:asciiTheme="minorHAnsi" w:hAnsiTheme="minorHAnsi" w:cstheme="minorHAnsi"/>
          <w:szCs w:val="22"/>
        </w:rPr>
        <w:t>blocks</w:t>
      </w:r>
      <w:r>
        <w:rPr>
          <w:rFonts w:asciiTheme="minorHAnsi" w:hAnsiTheme="minorHAnsi" w:cstheme="minorHAnsi"/>
          <w:szCs w:val="22"/>
        </w:rPr>
        <w:t xml:space="preserve"> for the</w:t>
      </w:r>
      <w:r w:rsidRPr="000368AA">
        <w:rPr>
          <w:rFonts w:asciiTheme="minorHAnsi" w:hAnsiTheme="minorHAnsi" w:cstheme="minorHAnsi"/>
          <w:szCs w:val="22"/>
        </w:rPr>
        <w:t xml:space="preserve"> ongoing product charges in the costs table and the performance fees separately shown in incidental costs.</w:t>
      </w:r>
    </w:p>
    <w:p w14:paraId="2EFC032F" w14:textId="7AB463BD" w:rsidR="004B6DD7" w:rsidRDefault="004B6DD7" w:rsidP="00182BC0">
      <w:pPr>
        <w:pStyle w:val="Heading3"/>
        <w:ind w:left="709"/>
        <w:rPr>
          <w:rFonts w:asciiTheme="minorHAnsi" w:hAnsiTheme="minorHAnsi"/>
          <w:color w:val="auto"/>
          <w:sz w:val="24"/>
          <w:szCs w:val="24"/>
        </w:rPr>
      </w:pPr>
      <w:bookmarkStart w:id="615" w:name="_Toc366502104"/>
      <w:bookmarkStart w:id="616" w:name="_Toc369907885"/>
      <w:bookmarkStart w:id="617" w:name="_Toc370052402"/>
      <w:bookmarkStart w:id="618" w:name="_Toc372234550"/>
      <w:bookmarkStart w:id="619" w:name="_Toc395871078"/>
      <w:bookmarkStart w:id="620" w:name="_Toc409468245"/>
      <w:bookmarkStart w:id="621" w:name="_Toc364343173"/>
      <w:bookmarkStart w:id="622" w:name="_Toc364343359"/>
      <w:bookmarkStart w:id="623" w:name="_Toc364343718"/>
      <w:bookmarkStart w:id="624" w:name="_Toc364635783"/>
      <w:bookmarkStart w:id="625" w:name="_Toc364636175"/>
      <w:bookmarkStart w:id="626" w:name="_Toc364636611"/>
      <w:r w:rsidRPr="002E45F4">
        <w:rPr>
          <w:rFonts w:asciiTheme="minorHAnsi" w:hAnsiTheme="minorHAnsi"/>
          <w:color w:val="auto"/>
          <w:sz w:val="24"/>
          <w:szCs w:val="24"/>
        </w:rPr>
        <w:t>One-off charges</w:t>
      </w:r>
      <w:bookmarkEnd w:id="615"/>
      <w:bookmarkEnd w:id="616"/>
      <w:bookmarkEnd w:id="617"/>
      <w:bookmarkEnd w:id="618"/>
      <w:bookmarkEnd w:id="619"/>
      <w:bookmarkEnd w:id="620"/>
    </w:p>
    <w:p w14:paraId="09093D8F" w14:textId="77777777" w:rsidR="00634A1B" w:rsidRPr="002E45F4" w:rsidRDefault="00634A1B" w:rsidP="002E45F4"/>
    <w:p w14:paraId="7563479D" w14:textId="7687E253" w:rsidR="004B6DD7" w:rsidRDefault="004B6DD7" w:rsidP="00894AA2">
      <w:pPr>
        <w:spacing w:line="276" w:lineRule="auto"/>
        <w:jc w:val="both"/>
        <w:rPr>
          <w:rFonts w:asciiTheme="minorHAnsi" w:hAnsiTheme="minorHAnsi" w:cstheme="minorHAnsi"/>
          <w:szCs w:val="22"/>
        </w:rPr>
      </w:pPr>
      <w:r w:rsidRPr="002E45F4">
        <w:rPr>
          <w:rFonts w:asciiTheme="minorHAnsi" w:hAnsiTheme="minorHAnsi" w:cstheme="minorHAnsi"/>
          <w:szCs w:val="22"/>
        </w:rPr>
        <w:t>One</w:t>
      </w:r>
      <w:r w:rsidR="003566C9">
        <w:rPr>
          <w:rFonts w:asciiTheme="minorHAnsi" w:hAnsiTheme="minorHAnsi" w:cstheme="minorHAnsi"/>
          <w:szCs w:val="22"/>
        </w:rPr>
        <w:t>-</w:t>
      </w:r>
      <w:r w:rsidRPr="002E45F4">
        <w:rPr>
          <w:rFonts w:asciiTheme="minorHAnsi" w:hAnsiTheme="minorHAnsi" w:cstheme="minorHAnsi"/>
          <w:szCs w:val="22"/>
        </w:rPr>
        <w:t>off costs are the costs and charges paid to the investment firm at the beginning or at the end of the provided investment service(s), for example entry or exit fees.</w:t>
      </w:r>
    </w:p>
    <w:p w14:paraId="2F6CED63" w14:textId="77777777" w:rsidR="004B6DD7" w:rsidRPr="002E45F4" w:rsidRDefault="004B6DD7" w:rsidP="002E45F4">
      <w:pPr>
        <w:rPr>
          <w:rFonts w:asciiTheme="minorHAnsi" w:hAnsiTheme="minorHAnsi" w:cstheme="minorHAnsi"/>
          <w:szCs w:val="22"/>
        </w:rPr>
      </w:pPr>
    </w:p>
    <w:p w14:paraId="62370943" w14:textId="6F45013C" w:rsidR="006544AE" w:rsidRPr="00290BE6" w:rsidRDefault="006544AE" w:rsidP="00182BC0">
      <w:pPr>
        <w:pStyle w:val="Heading3"/>
        <w:ind w:left="709"/>
        <w:rPr>
          <w:rFonts w:asciiTheme="minorHAnsi" w:hAnsiTheme="minorHAnsi"/>
          <w:color w:val="auto"/>
          <w:sz w:val="24"/>
          <w:szCs w:val="24"/>
        </w:rPr>
      </w:pPr>
      <w:bookmarkStart w:id="627" w:name="_Toc366502105"/>
      <w:bookmarkStart w:id="628" w:name="_Toc369907886"/>
      <w:bookmarkStart w:id="629" w:name="_Toc370052403"/>
      <w:bookmarkStart w:id="630" w:name="_Toc372234551"/>
      <w:bookmarkStart w:id="631" w:name="_Toc395871079"/>
      <w:bookmarkStart w:id="632" w:name="_Toc409468246"/>
      <w:r w:rsidRPr="00290BE6">
        <w:rPr>
          <w:rFonts w:asciiTheme="minorHAnsi" w:hAnsiTheme="minorHAnsi"/>
          <w:color w:val="auto"/>
          <w:sz w:val="24"/>
          <w:szCs w:val="24"/>
        </w:rPr>
        <w:t xml:space="preserve">What </w:t>
      </w:r>
      <w:r>
        <w:rPr>
          <w:rFonts w:asciiTheme="minorHAnsi" w:hAnsiTheme="minorHAnsi"/>
          <w:color w:val="auto"/>
          <w:sz w:val="24"/>
          <w:szCs w:val="24"/>
        </w:rPr>
        <w:t>charges are contained in the ongoing charges</w:t>
      </w:r>
      <w:r w:rsidRPr="00290BE6">
        <w:rPr>
          <w:rFonts w:asciiTheme="minorHAnsi" w:hAnsiTheme="minorHAnsi"/>
          <w:color w:val="auto"/>
          <w:sz w:val="24"/>
          <w:szCs w:val="24"/>
        </w:rPr>
        <w:t>?</w:t>
      </w:r>
      <w:bookmarkEnd w:id="621"/>
      <w:bookmarkEnd w:id="622"/>
      <w:bookmarkEnd w:id="623"/>
      <w:bookmarkEnd w:id="624"/>
      <w:bookmarkEnd w:id="625"/>
      <w:bookmarkEnd w:id="626"/>
      <w:bookmarkEnd w:id="627"/>
      <w:bookmarkEnd w:id="628"/>
      <w:bookmarkEnd w:id="629"/>
      <w:bookmarkEnd w:id="630"/>
      <w:bookmarkEnd w:id="631"/>
      <w:bookmarkEnd w:id="632"/>
    </w:p>
    <w:p w14:paraId="746B32B1" w14:textId="77777777" w:rsidR="006544AE" w:rsidRDefault="006544AE" w:rsidP="006544AE">
      <w:pPr>
        <w:rPr>
          <w:rFonts w:cstheme="minorHAnsi"/>
          <w:sz w:val="24"/>
        </w:rPr>
      </w:pPr>
    </w:p>
    <w:p w14:paraId="4F84AAF5" w14:textId="77777777"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Examples of such fees that are in included in the calculation include but are not limited to;</w:t>
      </w:r>
    </w:p>
    <w:p w14:paraId="2F9F602E" w14:textId="77777777" w:rsidR="006544AE" w:rsidRPr="00290BE6" w:rsidRDefault="006544AE" w:rsidP="006544AE">
      <w:pPr>
        <w:rPr>
          <w:rFonts w:asciiTheme="minorHAnsi" w:hAnsiTheme="minorHAnsi" w:cstheme="minorHAnsi"/>
          <w:sz w:val="24"/>
        </w:rPr>
      </w:pPr>
    </w:p>
    <w:p w14:paraId="1039A320"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Administration Fees</w:t>
      </w:r>
    </w:p>
    <w:p w14:paraId="0E33B102"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Audit Fees</w:t>
      </w:r>
    </w:p>
    <w:p w14:paraId="701A5DE9"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Custodian Fees</w:t>
      </w:r>
    </w:p>
    <w:p w14:paraId="3E9198B9"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Directors Fees</w:t>
      </w:r>
    </w:p>
    <w:p w14:paraId="729CCC64"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Formation Fees</w:t>
      </w:r>
    </w:p>
    <w:p w14:paraId="045A1AB5"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Guarantor Fees</w:t>
      </w:r>
    </w:p>
    <w:p w14:paraId="0FBF4755"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Legal Fees</w:t>
      </w:r>
    </w:p>
    <w:p w14:paraId="3820367C" w14:textId="5FEBDFF5" w:rsidR="006544AE" w:rsidRPr="008F524F" w:rsidRDefault="004B6DD7"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 xml:space="preserve">Investment </w:t>
      </w:r>
      <w:r w:rsidR="006544AE" w:rsidRPr="008F524F">
        <w:rPr>
          <w:rFonts w:asciiTheme="minorHAnsi" w:hAnsiTheme="minorHAnsi" w:cstheme="minorHAnsi"/>
          <w:szCs w:val="22"/>
        </w:rPr>
        <w:t>Management Fees</w:t>
      </w:r>
    </w:p>
    <w:p w14:paraId="42F9736E"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Registration Fees</w:t>
      </w:r>
    </w:p>
    <w:p w14:paraId="76CE1F32"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Risk Transfer Fees</w:t>
      </w:r>
    </w:p>
    <w:p w14:paraId="5C8FB201"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Service Manager Fees</w:t>
      </w:r>
    </w:p>
    <w:p w14:paraId="0FACBF56"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Sub Registrar Fees</w:t>
      </w:r>
    </w:p>
    <w:p w14:paraId="7134FA17" w14:textId="77777777" w:rsidR="006544AE" w:rsidRPr="000368AA" w:rsidRDefault="006544AE" w:rsidP="00E4000D">
      <w:pPr>
        <w:ind w:left="1080"/>
        <w:jc w:val="both"/>
        <w:rPr>
          <w:rFonts w:asciiTheme="minorHAnsi" w:hAnsiTheme="minorHAnsi" w:cstheme="minorHAnsi"/>
          <w:szCs w:val="22"/>
        </w:rPr>
      </w:pPr>
    </w:p>
    <w:p w14:paraId="186B38DF" w14:textId="77777777" w:rsidR="006544AE" w:rsidRPr="000368AA" w:rsidRDefault="006544AE" w:rsidP="00E4000D">
      <w:pPr>
        <w:jc w:val="both"/>
        <w:rPr>
          <w:rFonts w:asciiTheme="minorHAnsi" w:hAnsiTheme="minorHAnsi" w:cstheme="minorHAnsi"/>
          <w:szCs w:val="22"/>
        </w:rPr>
      </w:pPr>
      <w:r w:rsidRPr="000368AA">
        <w:rPr>
          <w:rFonts w:asciiTheme="minorHAnsi" w:hAnsiTheme="minorHAnsi" w:cstheme="minorHAnsi"/>
          <w:szCs w:val="22"/>
        </w:rPr>
        <w:t>In addition</w:t>
      </w:r>
      <w:r>
        <w:rPr>
          <w:rFonts w:asciiTheme="minorHAnsi" w:hAnsiTheme="minorHAnsi" w:cstheme="minorHAnsi"/>
          <w:szCs w:val="22"/>
        </w:rPr>
        <w:t>,</w:t>
      </w:r>
      <w:r w:rsidRPr="000368AA">
        <w:rPr>
          <w:rFonts w:asciiTheme="minorHAnsi" w:hAnsiTheme="minorHAnsi" w:cstheme="minorHAnsi"/>
          <w:szCs w:val="22"/>
        </w:rPr>
        <w:t xml:space="preserve"> firms may need to source the following </w:t>
      </w:r>
      <w:r>
        <w:rPr>
          <w:rFonts w:asciiTheme="minorHAnsi" w:hAnsiTheme="minorHAnsi" w:cstheme="minorHAnsi"/>
          <w:szCs w:val="22"/>
        </w:rPr>
        <w:t>charges</w:t>
      </w:r>
      <w:r w:rsidRPr="000368AA">
        <w:rPr>
          <w:rFonts w:asciiTheme="minorHAnsi" w:hAnsiTheme="minorHAnsi" w:cstheme="minorHAnsi"/>
          <w:szCs w:val="22"/>
        </w:rPr>
        <w:t xml:space="preserve"> not currently included in the OCF and TER calculations;</w:t>
      </w:r>
    </w:p>
    <w:p w14:paraId="647187DE" w14:textId="77777777" w:rsidR="006544AE" w:rsidRPr="000368AA" w:rsidRDefault="006544AE" w:rsidP="00E4000D">
      <w:pPr>
        <w:ind w:left="1080"/>
        <w:jc w:val="both"/>
        <w:rPr>
          <w:rFonts w:asciiTheme="minorHAnsi" w:hAnsiTheme="minorHAnsi" w:cstheme="minorHAnsi"/>
          <w:szCs w:val="22"/>
        </w:rPr>
      </w:pPr>
    </w:p>
    <w:p w14:paraId="3F77D4A7"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Trading Stock Borrow Fees</w:t>
      </w:r>
    </w:p>
    <w:p w14:paraId="7325E328"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Trading Swap Financing Fees</w:t>
      </w:r>
    </w:p>
    <w:p w14:paraId="7E537EE9"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lastRenderedPageBreak/>
        <w:t>Research costs</w:t>
      </w:r>
    </w:p>
    <w:p w14:paraId="64389E7D" w14:textId="77777777" w:rsidR="006544AE" w:rsidRPr="00290BE6" w:rsidRDefault="006544AE" w:rsidP="006544AE">
      <w:pPr>
        <w:rPr>
          <w:rFonts w:asciiTheme="minorHAnsi" w:hAnsiTheme="minorHAnsi" w:cstheme="minorHAnsi"/>
          <w:sz w:val="24"/>
        </w:rPr>
      </w:pPr>
    </w:p>
    <w:p w14:paraId="6B250630" w14:textId="77777777"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Ongoing Charges should be calculated as the sum of fees over the previous 12 months divided by the share class NAV over the same period.</w:t>
      </w:r>
    </w:p>
    <w:p w14:paraId="066B450B" w14:textId="77777777" w:rsidR="006544AE" w:rsidRPr="00290BE6" w:rsidRDefault="006544AE" w:rsidP="006544AE">
      <w:pPr>
        <w:rPr>
          <w:rFonts w:asciiTheme="minorHAnsi" w:hAnsiTheme="minorHAnsi" w:cstheme="minorHAnsi"/>
          <w:sz w:val="24"/>
        </w:rPr>
      </w:pPr>
    </w:p>
    <w:p w14:paraId="5C447629" w14:textId="39158728"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 xml:space="preserve">Administrators typically provide the OCF/TER expenses breakdown on an annual </w:t>
      </w:r>
      <w:r w:rsidR="00634A1B" w:rsidRPr="000368AA">
        <w:rPr>
          <w:rFonts w:asciiTheme="minorHAnsi" w:hAnsiTheme="minorHAnsi" w:cstheme="minorHAnsi"/>
          <w:szCs w:val="22"/>
        </w:rPr>
        <w:t>basis;</w:t>
      </w:r>
      <w:r w:rsidRPr="000368AA">
        <w:rPr>
          <w:rFonts w:asciiTheme="minorHAnsi" w:hAnsiTheme="minorHAnsi" w:cstheme="minorHAnsi"/>
          <w:szCs w:val="22"/>
        </w:rPr>
        <w:t xml:space="preserve"> however some firms may wish to request an estimated figure more frequently to monitor costs for Ex</w:t>
      </w:r>
      <w:r w:rsidR="003566C9">
        <w:rPr>
          <w:rFonts w:asciiTheme="minorHAnsi" w:hAnsiTheme="minorHAnsi" w:cstheme="minorHAnsi"/>
          <w:szCs w:val="22"/>
        </w:rPr>
        <w:t>-</w:t>
      </w:r>
      <w:r w:rsidRPr="000368AA">
        <w:rPr>
          <w:rFonts w:asciiTheme="minorHAnsi" w:hAnsiTheme="minorHAnsi" w:cstheme="minorHAnsi"/>
          <w:szCs w:val="22"/>
        </w:rPr>
        <w:t xml:space="preserve">Ante disclosures, </w:t>
      </w:r>
      <w:r w:rsidR="00AF1599">
        <w:rPr>
          <w:rFonts w:asciiTheme="minorHAnsi" w:hAnsiTheme="minorHAnsi" w:cstheme="minorHAnsi"/>
          <w:szCs w:val="22"/>
        </w:rPr>
        <w:t xml:space="preserve">for </w:t>
      </w:r>
      <w:r w:rsidR="003566C9">
        <w:rPr>
          <w:rFonts w:asciiTheme="minorHAnsi" w:hAnsiTheme="minorHAnsi" w:cstheme="minorHAnsi"/>
          <w:szCs w:val="22"/>
        </w:rPr>
        <w:t>A</w:t>
      </w:r>
      <w:r w:rsidRPr="000368AA">
        <w:rPr>
          <w:rFonts w:asciiTheme="minorHAnsi" w:hAnsiTheme="minorHAnsi" w:cstheme="minorHAnsi"/>
          <w:szCs w:val="22"/>
        </w:rPr>
        <w:t>rticle 60 periodic reporting and being able to attribute fees to part periods or periods where performance fees were charged.</w:t>
      </w:r>
    </w:p>
    <w:p w14:paraId="4975E174" w14:textId="77777777" w:rsidR="006544AE" w:rsidRDefault="006544AE" w:rsidP="006544AE">
      <w:pPr>
        <w:pStyle w:val="Heading3"/>
        <w:numPr>
          <w:ilvl w:val="0"/>
          <w:numId w:val="0"/>
        </w:numPr>
      </w:pPr>
    </w:p>
    <w:p w14:paraId="4A5701D2" w14:textId="77777777" w:rsidR="006544AE" w:rsidRPr="00290BE6" w:rsidRDefault="006544AE" w:rsidP="00182BC0">
      <w:pPr>
        <w:pStyle w:val="Heading3"/>
        <w:ind w:left="709"/>
        <w:rPr>
          <w:rFonts w:asciiTheme="minorHAnsi" w:hAnsiTheme="minorHAnsi"/>
          <w:color w:val="auto"/>
          <w:sz w:val="24"/>
          <w:szCs w:val="24"/>
        </w:rPr>
      </w:pPr>
      <w:bookmarkStart w:id="633" w:name="_Toc364343174"/>
      <w:bookmarkStart w:id="634" w:name="_Toc364343360"/>
      <w:bookmarkStart w:id="635" w:name="_Toc364343719"/>
      <w:bookmarkStart w:id="636" w:name="_Toc364635784"/>
      <w:bookmarkStart w:id="637" w:name="_Toc364636176"/>
      <w:bookmarkStart w:id="638" w:name="_Toc364636612"/>
      <w:bookmarkStart w:id="639" w:name="_Toc366502106"/>
      <w:bookmarkStart w:id="640" w:name="_Toc369907887"/>
      <w:bookmarkStart w:id="641" w:name="_Toc370052404"/>
      <w:bookmarkStart w:id="642" w:name="_Toc372234552"/>
      <w:bookmarkStart w:id="643" w:name="_Toc395871080"/>
      <w:bookmarkStart w:id="644" w:name="_Toc409468247"/>
      <w:r w:rsidRPr="00290BE6">
        <w:rPr>
          <w:rFonts w:asciiTheme="minorHAnsi" w:hAnsiTheme="minorHAnsi"/>
          <w:color w:val="auto"/>
          <w:sz w:val="24"/>
          <w:szCs w:val="24"/>
        </w:rPr>
        <w:t>Incidental Costs</w:t>
      </w:r>
      <w:bookmarkEnd w:id="633"/>
      <w:bookmarkEnd w:id="634"/>
      <w:bookmarkEnd w:id="635"/>
      <w:bookmarkEnd w:id="636"/>
      <w:bookmarkEnd w:id="637"/>
      <w:bookmarkEnd w:id="638"/>
      <w:bookmarkEnd w:id="639"/>
      <w:bookmarkEnd w:id="640"/>
      <w:bookmarkEnd w:id="641"/>
      <w:bookmarkEnd w:id="642"/>
      <w:bookmarkEnd w:id="643"/>
      <w:bookmarkEnd w:id="644"/>
    </w:p>
    <w:p w14:paraId="06EDB799" w14:textId="77777777" w:rsidR="006544AE" w:rsidRDefault="006544AE" w:rsidP="006544AE">
      <w:pPr>
        <w:rPr>
          <w:rFonts w:cstheme="minorHAnsi"/>
          <w:sz w:val="24"/>
        </w:rPr>
      </w:pPr>
    </w:p>
    <w:p w14:paraId="68A9280B" w14:textId="3604A184"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 xml:space="preserve">These costs include performance fees and carried interests </w:t>
      </w:r>
      <w:r w:rsidR="004B6DD7">
        <w:rPr>
          <w:rFonts w:asciiTheme="minorHAnsi" w:hAnsiTheme="minorHAnsi" w:cstheme="minorHAnsi"/>
          <w:szCs w:val="22"/>
        </w:rPr>
        <w:t xml:space="preserve">that may be </w:t>
      </w:r>
      <w:r w:rsidRPr="000368AA">
        <w:rPr>
          <w:rFonts w:asciiTheme="minorHAnsi" w:hAnsiTheme="minorHAnsi" w:cstheme="minorHAnsi"/>
          <w:szCs w:val="22"/>
        </w:rPr>
        <w:t>calculated by the administrator separately from the Ongoing Charges Figure (OCF).</w:t>
      </w:r>
    </w:p>
    <w:p w14:paraId="3C72286E" w14:textId="77777777" w:rsidR="006544AE" w:rsidRPr="000368AA" w:rsidRDefault="006544AE" w:rsidP="006544AE">
      <w:pPr>
        <w:jc w:val="both"/>
        <w:rPr>
          <w:rFonts w:asciiTheme="minorHAnsi" w:hAnsiTheme="minorHAnsi" w:cstheme="minorHAnsi"/>
          <w:szCs w:val="22"/>
        </w:rPr>
      </w:pPr>
    </w:p>
    <w:p w14:paraId="0285D629" w14:textId="4BEEFBCD"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Incidental costs should be calculated as the sum of performance fees and/or carried interest divided by the share class NAV over the same period.</w:t>
      </w:r>
    </w:p>
    <w:p w14:paraId="6375A055" w14:textId="77777777" w:rsidR="006544AE" w:rsidRPr="000368AA" w:rsidRDefault="006544AE" w:rsidP="006544AE">
      <w:pPr>
        <w:jc w:val="both"/>
        <w:rPr>
          <w:rFonts w:asciiTheme="minorHAnsi" w:hAnsiTheme="minorHAnsi" w:cstheme="minorHAnsi"/>
          <w:szCs w:val="22"/>
        </w:rPr>
      </w:pPr>
    </w:p>
    <w:p w14:paraId="3294DAFD" w14:textId="3006D82A" w:rsidR="006544AE" w:rsidRPr="000368AA" w:rsidRDefault="006544AE" w:rsidP="006544AE">
      <w:pPr>
        <w:jc w:val="both"/>
        <w:rPr>
          <w:rFonts w:asciiTheme="minorHAnsi" w:hAnsiTheme="minorHAnsi" w:cstheme="minorHAnsi"/>
          <w:szCs w:val="22"/>
        </w:rPr>
      </w:pPr>
      <w:r w:rsidRPr="000368AA">
        <w:rPr>
          <w:rFonts w:asciiTheme="minorHAnsi" w:hAnsiTheme="minorHAnsi" w:cstheme="minorHAnsi"/>
          <w:szCs w:val="22"/>
        </w:rPr>
        <w:t xml:space="preserve">Firms should capture performance fees at least </w:t>
      </w:r>
      <w:r w:rsidR="004B6DD7">
        <w:rPr>
          <w:rFonts w:asciiTheme="minorHAnsi" w:hAnsiTheme="minorHAnsi" w:cstheme="minorHAnsi"/>
          <w:szCs w:val="22"/>
        </w:rPr>
        <w:t>annually or in line with</w:t>
      </w:r>
      <w:r w:rsidRPr="000368AA">
        <w:rPr>
          <w:rFonts w:asciiTheme="minorHAnsi" w:hAnsiTheme="minorHAnsi" w:cstheme="minorHAnsi"/>
          <w:szCs w:val="22"/>
        </w:rPr>
        <w:t xml:space="preserve"> the dissemination of the EMT or cost </w:t>
      </w:r>
      <w:r w:rsidR="003566C9">
        <w:rPr>
          <w:rFonts w:asciiTheme="minorHAnsi" w:hAnsiTheme="minorHAnsi" w:cstheme="minorHAnsi"/>
          <w:szCs w:val="22"/>
        </w:rPr>
        <w:t>and</w:t>
      </w:r>
      <w:r w:rsidR="003566C9" w:rsidRPr="000368AA">
        <w:rPr>
          <w:rFonts w:asciiTheme="minorHAnsi" w:hAnsiTheme="minorHAnsi" w:cstheme="minorHAnsi"/>
          <w:szCs w:val="22"/>
        </w:rPr>
        <w:t xml:space="preserve"> </w:t>
      </w:r>
      <w:r w:rsidRPr="000368AA">
        <w:rPr>
          <w:rFonts w:asciiTheme="minorHAnsi" w:hAnsiTheme="minorHAnsi" w:cstheme="minorHAnsi"/>
          <w:szCs w:val="22"/>
        </w:rPr>
        <w:t xml:space="preserve">charges disclosure. If performance fees are recorded </w:t>
      </w:r>
      <w:r w:rsidR="004B6DD7">
        <w:rPr>
          <w:rFonts w:asciiTheme="minorHAnsi" w:hAnsiTheme="minorHAnsi" w:cstheme="minorHAnsi"/>
          <w:szCs w:val="22"/>
        </w:rPr>
        <w:t xml:space="preserve">more frequently </w:t>
      </w:r>
      <w:r w:rsidR="007C7E03">
        <w:rPr>
          <w:rFonts w:asciiTheme="minorHAnsi" w:hAnsiTheme="minorHAnsi" w:cstheme="minorHAnsi"/>
          <w:szCs w:val="22"/>
        </w:rPr>
        <w:t xml:space="preserve">it would enable firms to </w:t>
      </w:r>
      <w:r w:rsidR="00187142">
        <w:rPr>
          <w:rFonts w:asciiTheme="minorHAnsi" w:hAnsiTheme="minorHAnsi" w:cstheme="minorHAnsi"/>
          <w:szCs w:val="22"/>
        </w:rPr>
        <w:t xml:space="preserve">distribute </w:t>
      </w:r>
      <w:r w:rsidR="00187142" w:rsidRPr="000368AA">
        <w:rPr>
          <w:rFonts w:asciiTheme="minorHAnsi" w:hAnsiTheme="minorHAnsi" w:cstheme="minorHAnsi"/>
          <w:szCs w:val="22"/>
        </w:rPr>
        <w:t>the</w:t>
      </w:r>
      <w:r w:rsidRPr="000368AA">
        <w:rPr>
          <w:rFonts w:asciiTheme="minorHAnsi" w:hAnsiTheme="minorHAnsi" w:cstheme="minorHAnsi"/>
          <w:szCs w:val="22"/>
        </w:rPr>
        <w:t xml:space="preserve"> EMT intra-year as accurate performance fees for the part years can be combined to show the total performance fees accrued by the average investor through that period.</w:t>
      </w:r>
    </w:p>
    <w:p w14:paraId="13A1DAEE" w14:textId="77777777" w:rsidR="006544AE" w:rsidRDefault="006544AE" w:rsidP="006544AE">
      <w:pPr>
        <w:rPr>
          <w:rFonts w:cstheme="minorHAnsi"/>
          <w:sz w:val="24"/>
        </w:rPr>
      </w:pPr>
    </w:p>
    <w:p w14:paraId="435886B8" w14:textId="77777777" w:rsidR="006544AE" w:rsidRPr="00290BE6" w:rsidRDefault="006544AE" w:rsidP="00182BC0">
      <w:pPr>
        <w:pStyle w:val="Heading3"/>
        <w:ind w:left="709"/>
        <w:rPr>
          <w:rFonts w:asciiTheme="minorHAnsi" w:hAnsiTheme="minorHAnsi"/>
          <w:color w:val="auto"/>
          <w:sz w:val="24"/>
          <w:szCs w:val="24"/>
        </w:rPr>
      </w:pPr>
      <w:bookmarkStart w:id="645" w:name="_Toc364343175"/>
      <w:bookmarkStart w:id="646" w:name="_Toc364343361"/>
      <w:bookmarkStart w:id="647" w:name="_Toc364343720"/>
      <w:bookmarkStart w:id="648" w:name="_Toc364635785"/>
      <w:bookmarkStart w:id="649" w:name="_Toc364636177"/>
      <w:bookmarkStart w:id="650" w:name="_Toc364636613"/>
      <w:bookmarkStart w:id="651" w:name="_Toc366502107"/>
      <w:bookmarkStart w:id="652" w:name="_Toc369907888"/>
      <w:bookmarkStart w:id="653" w:name="_Toc370052405"/>
      <w:bookmarkStart w:id="654" w:name="_Toc372234553"/>
      <w:bookmarkStart w:id="655" w:name="_Toc395871081"/>
      <w:bookmarkStart w:id="656" w:name="_Toc409468248"/>
      <w:r w:rsidRPr="00290BE6">
        <w:rPr>
          <w:rFonts w:asciiTheme="minorHAnsi" w:hAnsiTheme="minorHAnsi"/>
          <w:color w:val="auto"/>
          <w:sz w:val="24"/>
          <w:szCs w:val="24"/>
        </w:rPr>
        <w:t>Transaction Costs</w:t>
      </w:r>
      <w:bookmarkEnd w:id="645"/>
      <w:bookmarkEnd w:id="646"/>
      <w:bookmarkEnd w:id="647"/>
      <w:bookmarkEnd w:id="648"/>
      <w:bookmarkEnd w:id="649"/>
      <w:bookmarkEnd w:id="650"/>
      <w:bookmarkEnd w:id="651"/>
      <w:bookmarkEnd w:id="652"/>
      <w:bookmarkEnd w:id="653"/>
      <w:bookmarkEnd w:id="654"/>
      <w:bookmarkEnd w:id="655"/>
      <w:bookmarkEnd w:id="656"/>
    </w:p>
    <w:p w14:paraId="36352BC4" w14:textId="77777777" w:rsidR="006544AE" w:rsidRDefault="006544AE" w:rsidP="006544AE">
      <w:pPr>
        <w:rPr>
          <w:rFonts w:cstheme="minorHAnsi"/>
          <w:sz w:val="24"/>
        </w:rPr>
      </w:pPr>
    </w:p>
    <w:p w14:paraId="30DCDFC3" w14:textId="77777777" w:rsidR="006544AE" w:rsidRPr="00334290" w:rsidRDefault="006544AE" w:rsidP="006544AE">
      <w:pPr>
        <w:jc w:val="both"/>
        <w:rPr>
          <w:rFonts w:asciiTheme="minorHAnsi" w:hAnsiTheme="minorHAnsi" w:cstheme="minorHAnsi"/>
          <w:szCs w:val="22"/>
        </w:rPr>
      </w:pPr>
      <w:r w:rsidRPr="00334290">
        <w:rPr>
          <w:rFonts w:asciiTheme="minorHAnsi" w:hAnsiTheme="minorHAnsi" w:cstheme="minorHAnsi"/>
          <w:szCs w:val="22"/>
        </w:rPr>
        <w:t xml:space="preserve">Transaction costs include both explicit and implicit costs of buying underlying securities within the portfolio. Some of these transaction costs are listed below for reference. </w:t>
      </w:r>
    </w:p>
    <w:p w14:paraId="24810259" w14:textId="77777777" w:rsidR="006544AE" w:rsidRPr="008F524F" w:rsidRDefault="006544AE" w:rsidP="00E4000D">
      <w:pPr>
        <w:pStyle w:val="ListParagraph"/>
        <w:ind w:left="1440"/>
        <w:rPr>
          <w:rFonts w:asciiTheme="minorHAnsi" w:hAnsiTheme="minorHAnsi" w:cstheme="minorHAnsi"/>
          <w:szCs w:val="22"/>
        </w:rPr>
      </w:pPr>
    </w:p>
    <w:p w14:paraId="0443E741"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Brokerage Commissions</w:t>
      </w:r>
    </w:p>
    <w:p w14:paraId="3C0B50B3"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Exchange Fees</w:t>
      </w:r>
    </w:p>
    <w:p w14:paraId="1923C3B0"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Clearing Charges</w:t>
      </w:r>
    </w:p>
    <w:p w14:paraId="0C16F68E"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Exchange Clearing</w:t>
      </w:r>
    </w:p>
    <w:p w14:paraId="67FD613A"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Exchange Execution</w:t>
      </w:r>
    </w:p>
    <w:p w14:paraId="3D6B6085"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PTM Levy</w:t>
      </w:r>
    </w:p>
    <w:p w14:paraId="717B27FA" w14:textId="7C8F3E74"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Stamp Duty</w:t>
      </w:r>
    </w:p>
    <w:p w14:paraId="1CB9A59F" w14:textId="77777777" w:rsidR="006544AE" w:rsidRPr="008F524F" w:rsidRDefault="006544AE" w:rsidP="00E4000D">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Execution Slippage Cost/Spreads</w:t>
      </w:r>
    </w:p>
    <w:p w14:paraId="19138BB9" w14:textId="77777777" w:rsidR="006544AE" w:rsidRPr="00334290" w:rsidRDefault="006544AE" w:rsidP="006544AE">
      <w:pPr>
        <w:jc w:val="both"/>
        <w:rPr>
          <w:rFonts w:asciiTheme="minorHAnsi" w:hAnsiTheme="minorHAnsi" w:cstheme="minorHAnsi"/>
          <w:szCs w:val="22"/>
        </w:rPr>
      </w:pPr>
    </w:p>
    <w:p w14:paraId="1C89FDDD" w14:textId="77777777" w:rsidR="00334290" w:rsidRPr="008F524F" w:rsidRDefault="00334290" w:rsidP="00334290">
      <w:pPr>
        <w:rPr>
          <w:rFonts w:asciiTheme="minorHAnsi" w:hAnsiTheme="minorHAnsi"/>
          <w:b/>
          <w:szCs w:val="22"/>
          <w:u w:val="single"/>
        </w:rPr>
      </w:pPr>
      <w:r w:rsidRPr="008F524F">
        <w:rPr>
          <w:rFonts w:asciiTheme="minorHAnsi" w:hAnsiTheme="minorHAnsi"/>
          <w:b/>
          <w:szCs w:val="22"/>
          <w:u w:val="single"/>
        </w:rPr>
        <w:t>Definition of transaction costs</w:t>
      </w:r>
    </w:p>
    <w:p w14:paraId="74DCC2A0" w14:textId="77777777" w:rsidR="00334290" w:rsidRPr="008F524F" w:rsidRDefault="00334290" w:rsidP="00334290">
      <w:pPr>
        <w:rPr>
          <w:rFonts w:asciiTheme="minorHAnsi" w:hAnsiTheme="minorHAnsi"/>
          <w:szCs w:val="22"/>
        </w:rPr>
      </w:pPr>
      <w:r w:rsidRPr="008F524F">
        <w:rPr>
          <w:rFonts w:asciiTheme="minorHAnsi" w:hAnsiTheme="minorHAnsi"/>
          <w:szCs w:val="22"/>
        </w:rPr>
        <w:t>Transaction costs represent the trading cost of the portfolio, for the acquisition and disposal of the investments. This fee includes both the explicit and implicit costs. The explicit costs are those fees paid to facilitate or undertake the actual trading, for example to a trading desk or broker. Implicit costs are the difference in the prevailing price of the investment when the trade was first sent for execution and the price actually paid for the investment. It therefore measures the financial impact of the ‘delay’ between putting in a trade and the trade being executed. This is known as the ‘arrival price’ methodology.</w:t>
      </w:r>
    </w:p>
    <w:p w14:paraId="54236EEE" w14:textId="77777777" w:rsidR="00334290" w:rsidRPr="008F524F" w:rsidRDefault="00334290" w:rsidP="00334290">
      <w:pPr>
        <w:rPr>
          <w:rFonts w:asciiTheme="minorHAnsi" w:hAnsiTheme="minorHAnsi"/>
          <w:b/>
          <w:szCs w:val="22"/>
          <w:u w:val="single"/>
        </w:rPr>
      </w:pPr>
      <w:r w:rsidRPr="008F524F">
        <w:rPr>
          <w:rFonts w:asciiTheme="minorHAnsi" w:hAnsiTheme="minorHAnsi"/>
          <w:b/>
          <w:szCs w:val="22"/>
          <w:u w:val="single"/>
        </w:rPr>
        <w:lastRenderedPageBreak/>
        <w:t>Why a transaction cost can be negative</w:t>
      </w:r>
    </w:p>
    <w:p w14:paraId="68A80F18" w14:textId="77777777" w:rsidR="00334290" w:rsidRDefault="00334290" w:rsidP="00334290">
      <w:pPr>
        <w:rPr>
          <w:rFonts w:asciiTheme="minorHAnsi" w:hAnsiTheme="minorHAnsi"/>
          <w:szCs w:val="22"/>
        </w:rPr>
      </w:pPr>
    </w:p>
    <w:p w14:paraId="6E639592" w14:textId="77777777" w:rsidR="00334290" w:rsidRPr="008F524F" w:rsidRDefault="00334290" w:rsidP="00334290">
      <w:pPr>
        <w:rPr>
          <w:rFonts w:asciiTheme="minorHAnsi" w:hAnsiTheme="minorHAnsi"/>
          <w:szCs w:val="22"/>
        </w:rPr>
      </w:pPr>
      <w:r w:rsidRPr="008F524F">
        <w:rPr>
          <w:rFonts w:asciiTheme="minorHAnsi" w:hAnsiTheme="minorHAnsi"/>
          <w:szCs w:val="22"/>
        </w:rPr>
        <w:t>Although explicit transaction costs will always be positive, the methodology prescribed by the regulator to calculate the transaction costs can include element that are negative, or in other words, seen as a benefit or gain to the end investor.</w:t>
      </w:r>
    </w:p>
    <w:p w14:paraId="1257FE70" w14:textId="77777777" w:rsidR="00334290" w:rsidRDefault="00334290" w:rsidP="00334290">
      <w:pPr>
        <w:rPr>
          <w:rFonts w:asciiTheme="minorHAnsi" w:hAnsiTheme="minorHAnsi"/>
          <w:i/>
          <w:szCs w:val="22"/>
        </w:rPr>
      </w:pPr>
    </w:p>
    <w:p w14:paraId="54C8C5AF" w14:textId="77777777" w:rsidR="00334290" w:rsidRPr="008F524F" w:rsidRDefault="00334290" w:rsidP="00334290">
      <w:pPr>
        <w:rPr>
          <w:rFonts w:asciiTheme="minorHAnsi" w:hAnsiTheme="minorHAnsi"/>
          <w:szCs w:val="22"/>
        </w:rPr>
      </w:pPr>
      <w:r w:rsidRPr="008F524F">
        <w:rPr>
          <w:rFonts w:asciiTheme="minorHAnsi" w:hAnsiTheme="minorHAnsi"/>
          <w:szCs w:val="22"/>
        </w:rPr>
        <w:t xml:space="preserve">These include firstly, the impact of dilution levies, including the effects of swing pricing. </w:t>
      </w:r>
    </w:p>
    <w:p w14:paraId="0D1172B7" w14:textId="77777777" w:rsidR="00334290" w:rsidRPr="008F524F" w:rsidRDefault="00334290" w:rsidP="00334290">
      <w:pPr>
        <w:rPr>
          <w:rFonts w:asciiTheme="minorHAnsi" w:hAnsiTheme="minorHAnsi"/>
          <w:szCs w:val="22"/>
        </w:rPr>
      </w:pPr>
    </w:p>
    <w:p w14:paraId="7D6DFE91" w14:textId="3554B0DA" w:rsidR="00334290" w:rsidRPr="008F524F" w:rsidRDefault="00334290" w:rsidP="00334290">
      <w:pPr>
        <w:rPr>
          <w:rFonts w:asciiTheme="minorHAnsi" w:hAnsiTheme="minorHAnsi"/>
          <w:szCs w:val="22"/>
        </w:rPr>
      </w:pPr>
      <w:r w:rsidRPr="008F524F">
        <w:rPr>
          <w:rFonts w:asciiTheme="minorHAnsi" w:hAnsiTheme="minorHAnsi"/>
          <w:szCs w:val="22"/>
        </w:rPr>
        <w:t xml:space="preserve">Dilution levies are where a fund may charge a separate fee to an investor buying or selling the fund for the transaction costs that will be incurred by the fund (either having to purchase additional investments to ensure the fund is fully investment or selling assets from the portfolio to pay the investor in the case of a sale). Swing pricing is similar in concept but is where the manufacturer changes (or swings) the purchase/sale price of the fund on the basis of the overall flow of money into or out of the fund on that day to factor in any transaction costs that will occur as a result of the flow. </w:t>
      </w:r>
    </w:p>
    <w:p w14:paraId="7FCBFCAE" w14:textId="20214355" w:rsidR="00334290" w:rsidRPr="008F524F" w:rsidRDefault="00334290" w:rsidP="00334290">
      <w:pPr>
        <w:rPr>
          <w:rFonts w:asciiTheme="minorHAnsi" w:hAnsiTheme="minorHAnsi"/>
          <w:szCs w:val="22"/>
        </w:rPr>
      </w:pPr>
      <w:r w:rsidRPr="008F524F">
        <w:rPr>
          <w:rFonts w:asciiTheme="minorHAnsi" w:hAnsiTheme="minorHAnsi"/>
          <w:szCs w:val="22"/>
        </w:rPr>
        <w:t>These dilution levies can be taken off of the transaction costs as they ‘compensate’ the existing and ongoing investors in the fund for any transaction costs incurred by the fund by new investors/sellers.</w:t>
      </w:r>
    </w:p>
    <w:p w14:paraId="4FA990BA" w14:textId="77777777" w:rsidR="00334290" w:rsidRPr="008F524F" w:rsidRDefault="00334290" w:rsidP="00334290">
      <w:pPr>
        <w:rPr>
          <w:rFonts w:asciiTheme="minorHAnsi" w:hAnsiTheme="minorHAnsi"/>
          <w:szCs w:val="22"/>
        </w:rPr>
      </w:pPr>
      <w:r w:rsidRPr="008F524F">
        <w:rPr>
          <w:rFonts w:asciiTheme="minorHAnsi" w:hAnsiTheme="minorHAnsi"/>
          <w:szCs w:val="22"/>
        </w:rPr>
        <w:t>An oddity of the regulation is that the swing price is not seen as a ‘one off’ cost for the investors purchasing or selling the fund (an explicit separately charged dilution levy would be seen as a one off cost) – as there is only one price the fund can be bought or sold on.</w:t>
      </w:r>
    </w:p>
    <w:p w14:paraId="3720D6A4" w14:textId="77777777" w:rsidR="00334290" w:rsidRDefault="00334290" w:rsidP="00334290">
      <w:pPr>
        <w:rPr>
          <w:rFonts w:asciiTheme="minorHAnsi" w:hAnsiTheme="minorHAnsi"/>
          <w:szCs w:val="22"/>
        </w:rPr>
      </w:pPr>
    </w:p>
    <w:p w14:paraId="3722109A" w14:textId="19418C14" w:rsidR="00334290" w:rsidRPr="008F524F" w:rsidRDefault="00334290" w:rsidP="00334290">
      <w:pPr>
        <w:rPr>
          <w:rFonts w:asciiTheme="minorHAnsi" w:hAnsiTheme="minorHAnsi"/>
          <w:szCs w:val="22"/>
        </w:rPr>
      </w:pPr>
      <w:r w:rsidRPr="008F524F">
        <w:rPr>
          <w:rFonts w:asciiTheme="minorHAnsi" w:hAnsiTheme="minorHAnsi"/>
          <w:szCs w:val="22"/>
        </w:rPr>
        <w:t xml:space="preserve">The ‘arrival price’ methodology for calculating the implicit costs (explained above) can result in negative costs, for example where the prevailing price when a trade to purchase an investment is sent (e.g. £100) being higher than the price the trade was executed </w:t>
      </w:r>
      <w:r w:rsidR="00D735C0">
        <w:rPr>
          <w:rFonts w:asciiTheme="minorHAnsi" w:hAnsiTheme="minorHAnsi"/>
          <w:szCs w:val="22"/>
        </w:rPr>
        <w:t>at</w:t>
      </w:r>
      <w:r w:rsidRPr="008F524F">
        <w:rPr>
          <w:rFonts w:asciiTheme="minorHAnsi" w:hAnsiTheme="minorHAnsi"/>
          <w:szCs w:val="22"/>
        </w:rPr>
        <w:t xml:space="preserve"> (e.g. £99). In this example the ‘cost’ would be -£1.</w:t>
      </w:r>
    </w:p>
    <w:p w14:paraId="02A79770" w14:textId="77777777" w:rsidR="00D735C0" w:rsidRDefault="00D735C0" w:rsidP="00334290">
      <w:pPr>
        <w:rPr>
          <w:rFonts w:asciiTheme="minorHAnsi" w:hAnsiTheme="minorHAnsi"/>
          <w:szCs w:val="22"/>
        </w:rPr>
      </w:pPr>
    </w:p>
    <w:p w14:paraId="30E3C667" w14:textId="77777777" w:rsidR="00334290" w:rsidRPr="008F524F" w:rsidRDefault="00334290" w:rsidP="00334290">
      <w:pPr>
        <w:rPr>
          <w:rFonts w:asciiTheme="minorHAnsi" w:hAnsiTheme="minorHAnsi"/>
          <w:szCs w:val="22"/>
        </w:rPr>
      </w:pPr>
      <w:r w:rsidRPr="008F524F">
        <w:rPr>
          <w:rFonts w:asciiTheme="minorHAnsi" w:hAnsiTheme="minorHAnsi"/>
          <w:szCs w:val="22"/>
        </w:rPr>
        <w:t xml:space="preserve">In some cases this can lead to the overall transaction cost, under the methodology prescribed, being negative. </w:t>
      </w:r>
    </w:p>
    <w:p w14:paraId="09164866" w14:textId="77777777" w:rsidR="00334290" w:rsidRDefault="00334290" w:rsidP="00334290">
      <w:pPr>
        <w:rPr>
          <w:rFonts w:asciiTheme="minorHAnsi" w:hAnsiTheme="minorHAnsi"/>
          <w:b/>
          <w:szCs w:val="22"/>
          <w:u w:val="single"/>
        </w:rPr>
      </w:pPr>
    </w:p>
    <w:p w14:paraId="2D3F2AD2" w14:textId="77777777" w:rsidR="00334290" w:rsidRPr="008F524F" w:rsidRDefault="00334290" w:rsidP="00334290">
      <w:pPr>
        <w:rPr>
          <w:rFonts w:asciiTheme="minorHAnsi" w:hAnsiTheme="minorHAnsi"/>
          <w:b/>
          <w:szCs w:val="22"/>
          <w:u w:val="single"/>
        </w:rPr>
      </w:pPr>
      <w:r w:rsidRPr="008F524F">
        <w:rPr>
          <w:rFonts w:asciiTheme="minorHAnsi" w:hAnsiTheme="minorHAnsi"/>
          <w:b/>
          <w:szCs w:val="22"/>
          <w:u w:val="single"/>
        </w:rPr>
        <w:t>TISA advice on ex-ante transaction cost reporting</w:t>
      </w:r>
    </w:p>
    <w:p w14:paraId="36E41FE3" w14:textId="77777777" w:rsidR="00334290" w:rsidRDefault="00334290" w:rsidP="00334290">
      <w:pPr>
        <w:rPr>
          <w:rFonts w:asciiTheme="minorHAnsi" w:hAnsiTheme="minorHAnsi"/>
          <w:szCs w:val="22"/>
        </w:rPr>
      </w:pPr>
    </w:p>
    <w:p w14:paraId="6B5A861D" w14:textId="40A258EA" w:rsidR="00334290" w:rsidRPr="008F524F" w:rsidRDefault="00334290" w:rsidP="00334290">
      <w:pPr>
        <w:rPr>
          <w:rFonts w:asciiTheme="minorHAnsi" w:hAnsiTheme="minorHAnsi"/>
          <w:szCs w:val="22"/>
        </w:rPr>
      </w:pPr>
      <w:r w:rsidRPr="008F524F">
        <w:rPr>
          <w:rFonts w:asciiTheme="minorHAnsi" w:hAnsiTheme="minorHAnsi"/>
          <w:szCs w:val="22"/>
        </w:rPr>
        <w:t>From January 3</w:t>
      </w:r>
      <w:r w:rsidRPr="008F524F">
        <w:rPr>
          <w:rFonts w:asciiTheme="minorHAnsi" w:hAnsiTheme="minorHAnsi"/>
          <w:szCs w:val="22"/>
          <w:vertAlign w:val="superscript"/>
        </w:rPr>
        <w:t>rd</w:t>
      </w:r>
      <w:r w:rsidRPr="008F524F">
        <w:rPr>
          <w:rFonts w:asciiTheme="minorHAnsi" w:hAnsiTheme="minorHAnsi"/>
          <w:szCs w:val="22"/>
        </w:rPr>
        <w:t xml:space="preserve"> 2018</w:t>
      </w:r>
      <w:r w:rsidR="00D735C0">
        <w:rPr>
          <w:rFonts w:asciiTheme="minorHAnsi" w:hAnsiTheme="minorHAnsi"/>
          <w:szCs w:val="22"/>
        </w:rPr>
        <w:t>,</w:t>
      </w:r>
      <w:r w:rsidRPr="008F524F">
        <w:rPr>
          <w:rFonts w:asciiTheme="minorHAnsi" w:hAnsiTheme="minorHAnsi"/>
          <w:szCs w:val="22"/>
        </w:rPr>
        <w:t xml:space="preserve"> ESMA recommends all PRIIP manufacture</w:t>
      </w:r>
      <w:r w:rsidR="00D735C0">
        <w:rPr>
          <w:rFonts w:asciiTheme="minorHAnsi" w:hAnsiTheme="minorHAnsi"/>
          <w:szCs w:val="22"/>
        </w:rPr>
        <w:t>r</w:t>
      </w:r>
      <w:r w:rsidRPr="008F524F">
        <w:rPr>
          <w:rFonts w:asciiTheme="minorHAnsi" w:hAnsiTheme="minorHAnsi"/>
          <w:szCs w:val="22"/>
        </w:rPr>
        <w:t xml:space="preserve">s use the full arrival price methodology to calculate their transaction costs, the expectation </w:t>
      </w:r>
      <w:r w:rsidR="00D735C0">
        <w:rPr>
          <w:rFonts w:asciiTheme="minorHAnsi" w:hAnsiTheme="minorHAnsi"/>
          <w:szCs w:val="22"/>
        </w:rPr>
        <w:t xml:space="preserve">being </w:t>
      </w:r>
      <w:r w:rsidRPr="008F524F">
        <w:rPr>
          <w:rFonts w:asciiTheme="minorHAnsi" w:hAnsiTheme="minorHAnsi"/>
          <w:szCs w:val="22"/>
        </w:rPr>
        <w:t xml:space="preserve">that this would only lead to small negative transaction costs in some limited cases.  </w:t>
      </w:r>
    </w:p>
    <w:p w14:paraId="0AD7FFD9" w14:textId="77777777" w:rsidR="00334290" w:rsidRPr="008F524F" w:rsidRDefault="00334290" w:rsidP="00334290">
      <w:pPr>
        <w:rPr>
          <w:rFonts w:asciiTheme="minorHAnsi" w:hAnsiTheme="minorHAnsi"/>
          <w:szCs w:val="22"/>
        </w:rPr>
      </w:pPr>
      <w:r w:rsidRPr="008F524F">
        <w:rPr>
          <w:rFonts w:asciiTheme="minorHAnsi" w:hAnsiTheme="minorHAnsi"/>
          <w:szCs w:val="22"/>
        </w:rPr>
        <w:t>The pre-sale (or ex-ante) transaction costs need to be calculated as well and should be an average of the last 3 years’ worth of the fund’s transaction costs. Many manufacturers do not have historical data for the prevailing price of their investment when the trade was sent (only recording the price that was actually paid/received for the investment).</w:t>
      </w:r>
    </w:p>
    <w:p w14:paraId="1B7EDE4F" w14:textId="77777777" w:rsidR="00334290" w:rsidRPr="008F524F" w:rsidRDefault="00334290" w:rsidP="00334290">
      <w:pPr>
        <w:rPr>
          <w:rFonts w:asciiTheme="minorHAnsi" w:hAnsiTheme="minorHAnsi"/>
          <w:szCs w:val="22"/>
        </w:rPr>
      </w:pPr>
      <w:r w:rsidRPr="008F524F">
        <w:rPr>
          <w:rFonts w:asciiTheme="minorHAnsi" w:hAnsiTheme="minorHAnsi"/>
          <w:szCs w:val="22"/>
        </w:rPr>
        <w:t xml:space="preserve">In these cases the regulation allows the previous day’s close (or that day’s opening price) to used in lieu of the actual prevailing price when the trade was placed. This can lead to a very large market movement being introduced into the calculation (either positive or negative) and unreasonably high or low transaction fees but that are a result of following accepted methodologies prescribed by the regulatory body (ESMA). </w:t>
      </w:r>
    </w:p>
    <w:p w14:paraId="6D233232" w14:textId="2F39F07C" w:rsidR="00334290" w:rsidRPr="008F524F" w:rsidRDefault="00334290" w:rsidP="00334290">
      <w:pPr>
        <w:rPr>
          <w:rFonts w:asciiTheme="minorHAnsi" w:hAnsiTheme="minorHAnsi"/>
          <w:szCs w:val="22"/>
        </w:rPr>
      </w:pPr>
      <w:r w:rsidRPr="008F524F">
        <w:rPr>
          <w:rFonts w:asciiTheme="minorHAnsi" w:hAnsiTheme="minorHAnsi"/>
          <w:szCs w:val="22"/>
        </w:rPr>
        <w:t>Full arrival price methodology should therefore be used where possible (we are aware the</w:t>
      </w:r>
      <w:r w:rsidR="00D735C0">
        <w:rPr>
          <w:rFonts w:asciiTheme="minorHAnsi" w:hAnsiTheme="minorHAnsi"/>
          <w:szCs w:val="22"/>
        </w:rPr>
        <w:t>re</w:t>
      </w:r>
      <w:r w:rsidRPr="008F524F">
        <w:rPr>
          <w:rFonts w:asciiTheme="minorHAnsi" w:hAnsiTheme="minorHAnsi"/>
          <w:szCs w:val="22"/>
        </w:rPr>
        <w:t xml:space="preserve"> is an interpretation that UCITs, NURs and other vehicles that have a derogation until 2020 can use the so called ½ spread methodology outlined below). </w:t>
      </w:r>
    </w:p>
    <w:p w14:paraId="44E7F081" w14:textId="77777777" w:rsidR="00334290" w:rsidRDefault="00334290" w:rsidP="00334290">
      <w:pPr>
        <w:rPr>
          <w:rFonts w:asciiTheme="minorHAnsi" w:hAnsiTheme="minorHAnsi"/>
          <w:szCs w:val="22"/>
        </w:rPr>
      </w:pPr>
    </w:p>
    <w:p w14:paraId="7A499C86" w14:textId="2046101A" w:rsidR="00334290" w:rsidRDefault="00334290" w:rsidP="00334290">
      <w:pPr>
        <w:rPr>
          <w:rFonts w:asciiTheme="minorHAnsi" w:hAnsiTheme="minorHAnsi"/>
          <w:szCs w:val="22"/>
        </w:rPr>
      </w:pPr>
      <w:r w:rsidRPr="008F524F">
        <w:rPr>
          <w:rFonts w:asciiTheme="minorHAnsi" w:hAnsiTheme="minorHAnsi"/>
          <w:szCs w:val="22"/>
        </w:rPr>
        <w:t>However</w:t>
      </w:r>
      <w:r>
        <w:rPr>
          <w:rFonts w:asciiTheme="minorHAnsi" w:hAnsiTheme="minorHAnsi"/>
          <w:szCs w:val="22"/>
        </w:rPr>
        <w:t>,</w:t>
      </w:r>
      <w:r w:rsidRPr="008F524F">
        <w:rPr>
          <w:rFonts w:asciiTheme="minorHAnsi" w:hAnsiTheme="minorHAnsi"/>
          <w:szCs w:val="22"/>
        </w:rPr>
        <w:t xml:space="preserve"> in any case</w:t>
      </w:r>
      <w:r>
        <w:rPr>
          <w:rFonts w:asciiTheme="minorHAnsi" w:hAnsiTheme="minorHAnsi"/>
          <w:szCs w:val="22"/>
        </w:rPr>
        <w:t>,</w:t>
      </w:r>
      <w:r w:rsidRPr="008F524F">
        <w:rPr>
          <w:rFonts w:asciiTheme="minorHAnsi" w:hAnsiTheme="minorHAnsi"/>
          <w:szCs w:val="22"/>
        </w:rPr>
        <w:t xml:space="preserve"> the Q&amp;A paper published by ESMA includes the following paragraph</w:t>
      </w:r>
    </w:p>
    <w:p w14:paraId="3AE48672" w14:textId="77777777" w:rsidR="00334290" w:rsidRPr="008F524F" w:rsidRDefault="00334290" w:rsidP="00334290">
      <w:pPr>
        <w:rPr>
          <w:rFonts w:asciiTheme="minorHAnsi" w:hAnsiTheme="minorHAnsi"/>
          <w:szCs w:val="22"/>
        </w:rPr>
      </w:pPr>
    </w:p>
    <w:p w14:paraId="7506C453" w14:textId="77777777" w:rsidR="00334290" w:rsidRPr="008F524F" w:rsidRDefault="00334290" w:rsidP="00334290">
      <w:pPr>
        <w:rPr>
          <w:rFonts w:asciiTheme="minorHAnsi" w:hAnsiTheme="minorHAnsi" w:cs="Arial"/>
          <w:i/>
          <w:szCs w:val="22"/>
          <w:lang w:eastAsia="en-GB"/>
        </w:rPr>
      </w:pPr>
      <w:r w:rsidRPr="008F524F">
        <w:rPr>
          <w:rFonts w:asciiTheme="minorHAnsi" w:hAnsiTheme="minorHAnsi" w:cs="Arial"/>
          <w:i/>
          <w:szCs w:val="22"/>
          <w:lang w:eastAsia="en-GB"/>
        </w:rPr>
        <w:t>‘An investment firm may assess that the costs involved in calculating the transaction costs using the method provided in paragraphs 12 to 20 of Annex VI of the PRIIPs RTS are disproportionate compared to their significance. In such cases, the firm may use an alternative approach (e.g. the method provided for in paragraphs 21 to 23 of the Annex VI of the PRIIPs RTS) to calculate transaction costs, provided that it identifies the actual transaction costs associated with the transaction, and that it clearly discloses to clients the basis on which transaction costs have been calculated.’</w:t>
      </w:r>
    </w:p>
    <w:p w14:paraId="1FA6A9E7" w14:textId="77777777" w:rsidR="00334290" w:rsidRPr="008F524F" w:rsidRDefault="00334290" w:rsidP="00334290">
      <w:pPr>
        <w:rPr>
          <w:rFonts w:asciiTheme="minorHAnsi" w:hAnsiTheme="minorHAnsi"/>
          <w:szCs w:val="22"/>
        </w:rPr>
      </w:pPr>
    </w:p>
    <w:p w14:paraId="57D0BF3C" w14:textId="79CEAED6" w:rsidR="00334290" w:rsidRPr="008F524F" w:rsidRDefault="00334290" w:rsidP="00334290">
      <w:pPr>
        <w:rPr>
          <w:rFonts w:asciiTheme="minorHAnsi" w:hAnsiTheme="minorHAnsi"/>
          <w:szCs w:val="22"/>
        </w:rPr>
      </w:pPr>
      <w:r w:rsidRPr="008F524F">
        <w:rPr>
          <w:rFonts w:asciiTheme="minorHAnsi" w:hAnsiTheme="minorHAnsi"/>
          <w:szCs w:val="22"/>
        </w:rPr>
        <w:t>The Q&amp;A is in relation to ex-post information</w:t>
      </w:r>
      <w:r>
        <w:rPr>
          <w:rFonts w:asciiTheme="minorHAnsi" w:hAnsiTheme="minorHAnsi"/>
          <w:szCs w:val="22"/>
        </w:rPr>
        <w:t>,</w:t>
      </w:r>
      <w:r w:rsidRPr="008F524F">
        <w:rPr>
          <w:rFonts w:asciiTheme="minorHAnsi" w:hAnsiTheme="minorHAnsi"/>
          <w:szCs w:val="22"/>
        </w:rPr>
        <w:t xml:space="preserve"> but we believe the principle can also be applied to ex-ante disclosures, and </w:t>
      </w:r>
      <w:r>
        <w:rPr>
          <w:rFonts w:asciiTheme="minorHAnsi" w:hAnsiTheme="minorHAnsi"/>
          <w:szCs w:val="22"/>
        </w:rPr>
        <w:t>therefore</w:t>
      </w:r>
      <w:r w:rsidRPr="008F524F">
        <w:rPr>
          <w:rFonts w:asciiTheme="minorHAnsi" w:hAnsiTheme="minorHAnsi"/>
          <w:szCs w:val="22"/>
        </w:rPr>
        <w:t xml:space="preserve"> advise</w:t>
      </w:r>
      <w:r>
        <w:rPr>
          <w:rFonts w:asciiTheme="minorHAnsi" w:hAnsiTheme="minorHAnsi"/>
          <w:szCs w:val="22"/>
        </w:rPr>
        <w:t>, that</w:t>
      </w:r>
      <w:r w:rsidRPr="008F524F">
        <w:rPr>
          <w:rFonts w:asciiTheme="minorHAnsi" w:hAnsiTheme="minorHAnsi"/>
          <w:szCs w:val="22"/>
        </w:rPr>
        <w:t xml:space="preserve"> where the methodology results in a value that it is not fair, clear and not misleading </w:t>
      </w:r>
      <w:r>
        <w:rPr>
          <w:rFonts w:asciiTheme="minorHAnsi" w:hAnsiTheme="minorHAnsi"/>
          <w:szCs w:val="22"/>
        </w:rPr>
        <w:t>(</w:t>
      </w:r>
      <w:r w:rsidRPr="008F524F">
        <w:rPr>
          <w:rFonts w:asciiTheme="minorHAnsi" w:hAnsiTheme="minorHAnsi"/>
          <w:szCs w:val="22"/>
        </w:rPr>
        <w:t>in that it cannot be reasonably be expected to be an accurate estimate of what the investor would experience</w:t>
      </w:r>
      <w:r>
        <w:rPr>
          <w:rFonts w:asciiTheme="minorHAnsi" w:hAnsiTheme="minorHAnsi"/>
          <w:szCs w:val="22"/>
        </w:rPr>
        <w:t>)</w:t>
      </w:r>
      <w:r w:rsidRPr="008F524F">
        <w:rPr>
          <w:rFonts w:asciiTheme="minorHAnsi" w:hAnsiTheme="minorHAnsi"/>
          <w:szCs w:val="22"/>
        </w:rPr>
        <w:t xml:space="preserve"> that the manufacturer should use a different methodology.</w:t>
      </w:r>
      <w:r>
        <w:rPr>
          <w:rFonts w:asciiTheme="minorHAnsi" w:hAnsiTheme="minorHAnsi"/>
          <w:szCs w:val="22"/>
        </w:rPr>
        <w:t xml:space="preserve"> In all cases, firms should document the reasons for their decisions.</w:t>
      </w:r>
    </w:p>
    <w:p w14:paraId="75DD4689" w14:textId="77777777" w:rsidR="00334290" w:rsidRDefault="00334290" w:rsidP="00334290">
      <w:pPr>
        <w:rPr>
          <w:rFonts w:asciiTheme="minorHAnsi" w:hAnsiTheme="minorHAnsi"/>
          <w:szCs w:val="22"/>
        </w:rPr>
      </w:pPr>
    </w:p>
    <w:p w14:paraId="7E454319" w14:textId="77777777" w:rsidR="00334290" w:rsidRDefault="00334290" w:rsidP="00334290">
      <w:pPr>
        <w:rPr>
          <w:rFonts w:asciiTheme="minorHAnsi" w:hAnsiTheme="minorHAnsi"/>
          <w:szCs w:val="22"/>
        </w:rPr>
      </w:pPr>
      <w:r w:rsidRPr="008F524F">
        <w:rPr>
          <w:rFonts w:asciiTheme="minorHAnsi" w:hAnsiTheme="minorHAnsi"/>
          <w:szCs w:val="22"/>
        </w:rPr>
        <w:t>Potential options include: -</w:t>
      </w:r>
    </w:p>
    <w:p w14:paraId="5B876FEA" w14:textId="77777777" w:rsidR="00334290" w:rsidRPr="008F524F" w:rsidRDefault="00334290" w:rsidP="00334290">
      <w:pPr>
        <w:rPr>
          <w:rFonts w:asciiTheme="minorHAnsi" w:hAnsiTheme="minorHAnsi"/>
          <w:szCs w:val="22"/>
        </w:rPr>
      </w:pPr>
    </w:p>
    <w:p w14:paraId="422C2246" w14:textId="77777777" w:rsidR="00334290" w:rsidRPr="008F524F" w:rsidRDefault="00334290" w:rsidP="00334290">
      <w:pPr>
        <w:pStyle w:val="ListParagraph"/>
        <w:numPr>
          <w:ilvl w:val="0"/>
          <w:numId w:val="86"/>
        </w:numPr>
        <w:spacing w:after="200" w:line="276" w:lineRule="auto"/>
        <w:rPr>
          <w:rFonts w:asciiTheme="minorHAnsi" w:hAnsiTheme="minorHAnsi"/>
          <w:szCs w:val="22"/>
        </w:rPr>
      </w:pPr>
      <w:r w:rsidRPr="008F524F">
        <w:rPr>
          <w:rFonts w:asciiTheme="minorHAnsi" w:hAnsiTheme="minorHAnsi"/>
          <w:szCs w:val="22"/>
        </w:rPr>
        <w:t xml:space="preserve">The so called ‘New fund’ methodology outlined in the PRIIPs RTS (annex VI paragraphs 21-23). This uses the estimated portfolio turnover for the period multiplied by an estimate of the ½ spread for the relevant asset class. </w:t>
      </w:r>
    </w:p>
    <w:p w14:paraId="322BAB93" w14:textId="77777777" w:rsidR="00334290" w:rsidRPr="008F524F" w:rsidRDefault="00334290" w:rsidP="00334290">
      <w:pPr>
        <w:pStyle w:val="ListParagraph"/>
        <w:numPr>
          <w:ilvl w:val="0"/>
          <w:numId w:val="86"/>
        </w:numPr>
        <w:spacing w:after="200" w:line="276" w:lineRule="auto"/>
        <w:rPr>
          <w:rFonts w:asciiTheme="minorHAnsi" w:hAnsiTheme="minorHAnsi"/>
          <w:szCs w:val="22"/>
        </w:rPr>
      </w:pPr>
      <w:r w:rsidRPr="008F524F">
        <w:rPr>
          <w:rFonts w:asciiTheme="minorHAnsi" w:hAnsiTheme="minorHAnsi"/>
          <w:szCs w:val="22"/>
        </w:rPr>
        <w:t>Using a combination of the arrival price methodology for those times where the manufacturer has full data on the prevailing price and the ½ spread methodology outlined above.</w:t>
      </w:r>
    </w:p>
    <w:p w14:paraId="5061FF91" w14:textId="77777777" w:rsidR="00334290" w:rsidRPr="008F524F" w:rsidRDefault="00334290" w:rsidP="00334290">
      <w:pPr>
        <w:pStyle w:val="ListParagraph"/>
        <w:numPr>
          <w:ilvl w:val="0"/>
          <w:numId w:val="86"/>
        </w:numPr>
        <w:spacing w:after="200" w:line="276" w:lineRule="auto"/>
        <w:rPr>
          <w:rFonts w:asciiTheme="minorHAnsi" w:hAnsiTheme="minorHAnsi"/>
          <w:szCs w:val="22"/>
        </w:rPr>
      </w:pPr>
      <w:r w:rsidRPr="008F524F">
        <w:rPr>
          <w:rFonts w:asciiTheme="minorHAnsi" w:hAnsiTheme="minorHAnsi"/>
          <w:szCs w:val="22"/>
        </w:rPr>
        <w:t>To apply some validation to the inputs created by using previous close or opening prices (used as substitutes for the actual prevailing price) and removing those values that are unrealistic/unreasonable.</w:t>
      </w:r>
    </w:p>
    <w:p w14:paraId="5A963D5C" w14:textId="77777777" w:rsidR="00334290" w:rsidRPr="008F524F" w:rsidRDefault="00334290" w:rsidP="00334290">
      <w:pPr>
        <w:pStyle w:val="ListParagraph"/>
        <w:numPr>
          <w:ilvl w:val="0"/>
          <w:numId w:val="86"/>
        </w:numPr>
        <w:spacing w:after="200" w:line="276" w:lineRule="auto"/>
        <w:rPr>
          <w:rFonts w:asciiTheme="minorHAnsi" w:hAnsiTheme="minorHAnsi"/>
          <w:szCs w:val="22"/>
        </w:rPr>
      </w:pPr>
      <w:r w:rsidRPr="008F524F">
        <w:rPr>
          <w:rFonts w:asciiTheme="minorHAnsi" w:hAnsiTheme="minorHAnsi"/>
          <w:szCs w:val="22"/>
        </w:rPr>
        <w:t>To calculate the actual ½ spreads on a trade by trade basis (where possible and used estimates for the rest).</w:t>
      </w:r>
    </w:p>
    <w:p w14:paraId="50BCCA89" w14:textId="77777777" w:rsidR="00334290" w:rsidRPr="008F524F" w:rsidRDefault="00334290" w:rsidP="00334290">
      <w:pPr>
        <w:pStyle w:val="ListParagraph"/>
        <w:numPr>
          <w:ilvl w:val="0"/>
          <w:numId w:val="86"/>
        </w:numPr>
        <w:spacing w:after="200" w:line="276" w:lineRule="auto"/>
        <w:rPr>
          <w:rFonts w:asciiTheme="minorHAnsi" w:hAnsiTheme="minorHAnsi"/>
          <w:szCs w:val="22"/>
        </w:rPr>
      </w:pPr>
      <w:r w:rsidRPr="008F524F">
        <w:rPr>
          <w:rFonts w:asciiTheme="minorHAnsi" w:hAnsiTheme="minorHAnsi"/>
          <w:szCs w:val="22"/>
        </w:rPr>
        <w:t>Ignore the implicit part of the calculation (if unreasonable) and report the explicit costs and impact of dilution levy only.</w:t>
      </w:r>
    </w:p>
    <w:p w14:paraId="75B2DAFC" w14:textId="77777777" w:rsidR="00334290" w:rsidRPr="008F524F" w:rsidRDefault="00334290" w:rsidP="00334290">
      <w:pPr>
        <w:rPr>
          <w:rFonts w:asciiTheme="minorHAnsi" w:hAnsiTheme="minorHAnsi"/>
          <w:b/>
          <w:szCs w:val="22"/>
        </w:rPr>
      </w:pPr>
      <w:r w:rsidRPr="008F524F">
        <w:rPr>
          <w:rFonts w:asciiTheme="minorHAnsi" w:hAnsiTheme="minorHAnsi"/>
          <w:b/>
          <w:szCs w:val="22"/>
        </w:rPr>
        <w:t>In all cases the reported value for transaction cost should be one the manufacturer believes to be a true, fair and not misleading representation of the actual costs that an end investor might reasonable incur going forward.</w:t>
      </w:r>
    </w:p>
    <w:p w14:paraId="01DEA31A" w14:textId="77777777" w:rsidR="00334290" w:rsidRDefault="00334290" w:rsidP="006544AE">
      <w:pPr>
        <w:jc w:val="both"/>
        <w:rPr>
          <w:rFonts w:asciiTheme="minorHAnsi" w:hAnsiTheme="minorHAnsi" w:cstheme="minorHAnsi"/>
          <w:szCs w:val="22"/>
        </w:rPr>
      </w:pPr>
    </w:p>
    <w:p w14:paraId="5523DAA3" w14:textId="77777777" w:rsidR="00334290" w:rsidRDefault="00334290" w:rsidP="006544AE">
      <w:pPr>
        <w:jc w:val="both"/>
        <w:rPr>
          <w:rFonts w:asciiTheme="minorHAnsi" w:hAnsiTheme="minorHAnsi" w:cstheme="minorHAnsi"/>
          <w:szCs w:val="22"/>
        </w:rPr>
      </w:pPr>
    </w:p>
    <w:p w14:paraId="1DE3EC36" w14:textId="796EFF40" w:rsidR="006544AE" w:rsidRPr="00334290" w:rsidRDefault="006544AE" w:rsidP="006544AE">
      <w:pPr>
        <w:jc w:val="both"/>
        <w:rPr>
          <w:rFonts w:asciiTheme="minorHAnsi" w:hAnsiTheme="minorHAnsi" w:cstheme="minorHAnsi"/>
          <w:szCs w:val="22"/>
        </w:rPr>
      </w:pPr>
      <w:r w:rsidRPr="00334290">
        <w:rPr>
          <w:rFonts w:asciiTheme="minorHAnsi" w:hAnsiTheme="minorHAnsi" w:cstheme="minorHAnsi"/>
          <w:szCs w:val="22"/>
        </w:rPr>
        <w:t>Transaction costs should be calculated as the sum of costs divided by the share class NAV over the same period.</w:t>
      </w:r>
    </w:p>
    <w:p w14:paraId="4BE98957" w14:textId="77777777" w:rsidR="006544AE" w:rsidRPr="00D735C0" w:rsidRDefault="006544AE" w:rsidP="006544AE">
      <w:pPr>
        <w:jc w:val="both"/>
        <w:rPr>
          <w:rFonts w:asciiTheme="minorHAnsi" w:hAnsiTheme="minorHAnsi" w:cstheme="minorHAnsi"/>
          <w:szCs w:val="22"/>
        </w:rPr>
      </w:pPr>
    </w:p>
    <w:p w14:paraId="5946B182" w14:textId="77777777" w:rsidR="006544AE" w:rsidRPr="0099686B" w:rsidRDefault="006544AE" w:rsidP="006544AE">
      <w:pPr>
        <w:jc w:val="both"/>
        <w:rPr>
          <w:rFonts w:asciiTheme="minorHAnsi" w:hAnsiTheme="minorHAnsi" w:cstheme="minorHAnsi"/>
          <w:szCs w:val="22"/>
        </w:rPr>
      </w:pPr>
      <w:r w:rsidRPr="0099686B">
        <w:rPr>
          <w:rFonts w:asciiTheme="minorHAnsi" w:hAnsiTheme="minorHAnsi" w:cstheme="minorHAnsi"/>
          <w:szCs w:val="22"/>
        </w:rPr>
        <w:t xml:space="preserve">FX hedged share classes will also have specific costs attributed to them from buying and selling FX forwards. </w:t>
      </w:r>
    </w:p>
    <w:p w14:paraId="1F010527" w14:textId="77777777" w:rsidR="006544AE" w:rsidRDefault="006544AE" w:rsidP="007D53AC">
      <w:pPr>
        <w:ind w:left="0"/>
        <w:rPr>
          <w:rFonts w:cstheme="minorHAnsi"/>
          <w:sz w:val="24"/>
        </w:rPr>
      </w:pPr>
    </w:p>
    <w:p w14:paraId="052F7E5E" w14:textId="77777777" w:rsidR="006544AE" w:rsidRPr="00903B8E" w:rsidRDefault="006544AE" w:rsidP="00182BC0">
      <w:pPr>
        <w:pStyle w:val="Heading3"/>
        <w:ind w:left="709"/>
        <w:rPr>
          <w:rFonts w:asciiTheme="minorHAnsi" w:hAnsiTheme="minorHAnsi"/>
          <w:color w:val="auto"/>
          <w:sz w:val="24"/>
          <w:szCs w:val="24"/>
        </w:rPr>
      </w:pPr>
      <w:bookmarkStart w:id="657" w:name="_Toc364343176"/>
      <w:bookmarkStart w:id="658" w:name="_Toc364343362"/>
      <w:bookmarkStart w:id="659" w:name="_Toc364343721"/>
      <w:bookmarkStart w:id="660" w:name="_Toc364635786"/>
      <w:bookmarkStart w:id="661" w:name="_Toc364636178"/>
      <w:bookmarkStart w:id="662" w:name="_Toc364636614"/>
      <w:bookmarkStart w:id="663" w:name="_Toc366502108"/>
      <w:bookmarkStart w:id="664" w:name="_Toc369907889"/>
      <w:bookmarkStart w:id="665" w:name="_Toc370052406"/>
      <w:bookmarkStart w:id="666" w:name="_Toc372234554"/>
      <w:bookmarkStart w:id="667" w:name="_Toc395871082"/>
      <w:bookmarkStart w:id="668" w:name="_Toc409468249"/>
      <w:r w:rsidRPr="007D53AC">
        <w:rPr>
          <w:rFonts w:asciiTheme="minorHAnsi" w:hAnsiTheme="minorHAnsi"/>
          <w:color w:val="auto"/>
          <w:sz w:val="24"/>
          <w:szCs w:val="24"/>
        </w:rPr>
        <w:t>Service Costs</w:t>
      </w:r>
      <w:bookmarkEnd w:id="657"/>
      <w:bookmarkEnd w:id="658"/>
      <w:bookmarkEnd w:id="659"/>
      <w:bookmarkEnd w:id="660"/>
      <w:bookmarkEnd w:id="661"/>
      <w:bookmarkEnd w:id="662"/>
      <w:bookmarkEnd w:id="663"/>
      <w:bookmarkEnd w:id="664"/>
      <w:bookmarkEnd w:id="665"/>
      <w:bookmarkEnd w:id="666"/>
      <w:bookmarkEnd w:id="667"/>
      <w:bookmarkEnd w:id="668"/>
    </w:p>
    <w:p w14:paraId="0A0F7D6C" w14:textId="77777777" w:rsidR="006544AE" w:rsidRPr="003348C6" w:rsidRDefault="006544AE" w:rsidP="006544AE">
      <w:pPr>
        <w:rPr>
          <w:rFonts w:asciiTheme="minorHAnsi" w:hAnsiTheme="minorHAnsi" w:cstheme="minorHAnsi"/>
          <w:sz w:val="24"/>
        </w:rPr>
      </w:pPr>
    </w:p>
    <w:p w14:paraId="752ADA56" w14:textId="69FFE069" w:rsidR="004D78CB" w:rsidRDefault="006544AE" w:rsidP="006544AE">
      <w:pPr>
        <w:rPr>
          <w:rFonts w:asciiTheme="minorHAnsi" w:hAnsiTheme="minorHAnsi" w:cstheme="minorHAnsi"/>
          <w:sz w:val="24"/>
        </w:rPr>
      </w:pPr>
      <w:r w:rsidRPr="007D53AC">
        <w:rPr>
          <w:rFonts w:asciiTheme="minorHAnsi" w:hAnsiTheme="minorHAnsi" w:cstheme="minorHAnsi"/>
          <w:szCs w:val="22"/>
        </w:rPr>
        <w:t>Such service costs</w:t>
      </w:r>
      <w:r w:rsidR="007C7E03" w:rsidRPr="007D53AC">
        <w:rPr>
          <w:szCs w:val="22"/>
        </w:rPr>
        <w:t xml:space="preserve"> </w:t>
      </w:r>
      <w:r w:rsidR="007C7E03" w:rsidRPr="007D53AC">
        <w:rPr>
          <w:rFonts w:asciiTheme="minorHAnsi" w:hAnsiTheme="minorHAnsi" w:cstheme="minorHAnsi"/>
          <w:szCs w:val="22"/>
        </w:rPr>
        <w:t>associated with Execution</w:t>
      </w:r>
      <w:r w:rsidR="004D78CB" w:rsidRPr="007D53AC">
        <w:rPr>
          <w:rFonts w:asciiTheme="minorHAnsi" w:hAnsiTheme="minorHAnsi" w:cstheme="minorHAnsi"/>
          <w:szCs w:val="22"/>
        </w:rPr>
        <w:t>-</w:t>
      </w:r>
      <w:r w:rsidR="007C7E03" w:rsidRPr="007D53AC">
        <w:rPr>
          <w:rFonts w:asciiTheme="minorHAnsi" w:hAnsiTheme="minorHAnsi" w:cstheme="minorHAnsi"/>
          <w:szCs w:val="22"/>
        </w:rPr>
        <w:t>Only services</w:t>
      </w:r>
      <w:r w:rsidRPr="007D53AC">
        <w:rPr>
          <w:rFonts w:asciiTheme="minorHAnsi" w:hAnsiTheme="minorHAnsi" w:cstheme="minorHAnsi"/>
          <w:szCs w:val="22"/>
        </w:rPr>
        <w:t xml:space="preserve"> include but are not limited to</w:t>
      </w:r>
      <w:r w:rsidR="004D78CB">
        <w:rPr>
          <w:rFonts w:asciiTheme="minorHAnsi" w:hAnsiTheme="minorHAnsi" w:cstheme="minorHAnsi"/>
          <w:sz w:val="24"/>
        </w:rPr>
        <w:t>:</w:t>
      </w:r>
    </w:p>
    <w:p w14:paraId="0F4B3E3A" w14:textId="18510532" w:rsidR="006544AE" w:rsidRPr="008F524F" w:rsidRDefault="006544AE" w:rsidP="006544AE">
      <w:pPr>
        <w:rPr>
          <w:rFonts w:asciiTheme="minorHAnsi" w:hAnsiTheme="minorHAnsi" w:cstheme="minorHAnsi"/>
          <w:szCs w:val="22"/>
        </w:rPr>
      </w:pPr>
    </w:p>
    <w:p w14:paraId="549EEE11" w14:textId="77777777" w:rsidR="006544AE" w:rsidRPr="008F524F" w:rsidRDefault="006544AE" w:rsidP="006544AE">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lastRenderedPageBreak/>
        <w:t>FX charges</w:t>
      </w:r>
    </w:p>
    <w:p w14:paraId="701FE873" w14:textId="77777777" w:rsidR="006544AE" w:rsidRPr="008F524F" w:rsidRDefault="006544AE" w:rsidP="006544AE">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Dealing charges</w:t>
      </w:r>
    </w:p>
    <w:p w14:paraId="132581A9" w14:textId="2A763DA1" w:rsidR="006544AE" w:rsidRPr="008F524F" w:rsidRDefault="006544AE" w:rsidP="006544AE">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Multi</w:t>
      </w:r>
      <w:r w:rsidR="003566C9" w:rsidRPr="008F524F">
        <w:rPr>
          <w:rFonts w:asciiTheme="minorHAnsi" w:hAnsiTheme="minorHAnsi" w:cstheme="minorHAnsi"/>
          <w:szCs w:val="22"/>
        </w:rPr>
        <w:t>-</w:t>
      </w:r>
      <w:r w:rsidRPr="008F524F">
        <w:rPr>
          <w:rFonts w:asciiTheme="minorHAnsi" w:hAnsiTheme="minorHAnsi" w:cstheme="minorHAnsi"/>
          <w:szCs w:val="22"/>
        </w:rPr>
        <w:t>currency FX trade (</w:t>
      </w:r>
      <w:r w:rsidR="00BF1805" w:rsidRPr="008F524F">
        <w:rPr>
          <w:rFonts w:asciiTheme="minorHAnsi" w:hAnsiTheme="minorHAnsi" w:cstheme="minorHAnsi"/>
          <w:szCs w:val="22"/>
        </w:rPr>
        <w:t>i.e.,</w:t>
      </w:r>
      <w:r w:rsidRPr="008F524F">
        <w:rPr>
          <w:rFonts w:asciiTheme="minorHAnsi" w:hAnsiTheme="minorHAnsi" w:cstheme="minorHAnsi"/>
          <w:szCs w:val="22"/>
        </w:rPr>
        <w:t xml:space="preserve"> commission from sub/red in other class currency)</w:t>
      </w:r>
    </w:p>
    <w:p w14:paraId="20EBE9DE" w14:textId="77777777" w:rsidR="006544AE" w:rsidRPr="008F524F" w:rsidRDefault="006544AE" w:rsidP="006544AE">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Dilution Levy</w:t>
      </w:r>
    </w:p>
    <w:p w14:paraId="1577A957" w14:textId="77777777" w:rsidR="006544AE" w:rsidRPr="008F524F" w:rsidRDefault="006544AE" w:rsidP="006544AE">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Wrapper costs</w:t>
      </w:r>
    </w:p>
    <w:p w14:paraId="2AA83138" w14:textId="77777777" w:rsidR="006544AE" w:rsidRPr="008F524F" w:rsidRDefault="006544AE" w:rsidP="006544AE">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Exit and Entry charges</w:t>
      </w:r>
    </w:p>
    <w:p w14:paraId="1174F72E" w14:textId="77777777" w:rsidR="006544AE" w:rsidRPr="008F524F" w:rsidRDefault="006544AE" w:rsidP="006544AE">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Rebates and Retrocessions</w:t>
      </w:r>
    </w:p>
    <w:p w14:paraId="4F3B5E47" w14:textId="77777777" w:rsidR="006544AE" w:rsidRPr="008F524F" w:rsidRDefault="006544AE" w:rsidP="006544AE">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Switching costs</w:t>
      </w:r>
    </w:p>
    <w:p w14:paraId="339C96F8" w14:textId="324343AB" w:rsidR="006544AE" w:rsidRPr="008F524F" w:rsidRDefault="006544AE" w:rsidP="006544AE">
      <w:pPr>
        <w:pStyle w:val="ListParagraph"/>
        <w:numPr>
          <w:ilvl w:val="0"/>
          <w:numId w:val="51"/>
        </w:numPr>
        <w:rPr>
          <w:rFonts w:asciiTheme="minorHAnsi" w:hAnsiTheme="minorHAnsi" w:cstheme="minorHAnsi"/>
          <w:szCs w:val="22"/>
        </w:rPr>
      </w:pPr>
      <w:r w:rsidRPr="008F524F">
        <w:rPr>
          <w:rFonts w:asciiTheme="minorHAnsi" w:hAnsiTheme="minorHAnsi" w:cstheme="minorHAnsi"/>
          <w:szCs w:val="22"/>
        </w:rPr>
        <w:t xml:space="preserve">Bank transfer fees </w:t>
      </w:r>
    </w:p>
    <w:p w14:paraId="15D94E13" w14:textId="77777777" w:rsidR="006544AE" w:rsidRDefault="006544AE" w:rsidP="00BC6FB6">
      <w:pPr>
        <w:rPr>
          <w:rFonts w:cstheme="minorHAnsi"/>
          <w:b/>
          <w:sz w:val="24"/>
        </w:rPr>
      </w:pPr>
    </w:p>
    <w:p w14:paraId="4C94DA49" w14:textId="40CFE751" w:rsidR="006544AE" w:rsidRPr="007D53AC" w:rsidRDefault="004D78CB" w:rsidP="00182BC0">
      <w:pPr>
        <w:pStyle w:val="Heading3"/>
        <w:ind w:left="709"/>
        <w:rPr>
          <w:rFonts w:asciiTheme="minorHAnsi" w:hAnsiTheme="minorHAnsi"/>
          <w:b w:val="0"/>
          <w:sz w:val="24"/>
          <w:szCs w:val="24"/>
        </w:rPr>
      </w:pPr>
      <w:bookmarkStart w:id="669" w:name="_Toc366502109"/>
      <w:bookmarkStart w:id="670" w:name="_Toc369907890"/>
      <w:bookmarkStart w:id="671" w:name="_Toc370052407"/>
      <w:bookmarkStart w:id="672" w:name="_Toc372234555"/>
      <w:bookmarkStart w:id="673" w:name="_Toc395871083"/>
      <w:bookmarkStart w:id="674" w:name="_Toc409468250"/>
      <w:r w:rsidRPr="007D53AC">
        <w:rPr>
          <w:rFonts w:asciiTheme="minorHAnsi" w:hAnsiTheme="minorHAnsi"/>
          <w:color w:val="auto"/>
          <w:sz w:val="24"/>
          <w:szCs w:val="24"/>
        </w:rPr>
        <w:t>Example Breakdown of detailed costs and charges for a “fund”</w:t>
      </w:r>
      <w:bookmarkEnd w:id="669"/>
      <w:bookmarkEnd w:id="670"/>
      <w:bookmarkEnd w:id="671"/>
      <w:bookmarkEnd w:id="672"/>
      <w:bookmarkEnd w:id="673"/>
      <w:bookmarkEnd w:id="674"/>
    </w:p>
    <w:p w14:paraId="65C153E4" w14:textId="1E5BE32D" w:rsidR="00CD78E9" w:rsidRDefault="00CD78E9" w:rsidP="00CD78E9">
      <w:pPr>
        <w:rPr>
          <w:rFonts w:cstheme="minorHAnsi"/>
          <w:b/>
          <w:sz w:val="24"/>
        </w:rPr>
      </w:pPr>
    </w:p>
    <w:p w14:paraId="0A7975A1" w14:textId="1E3D5D0D" w:rsidR="004D78CB" w:rsidRPr="007D53AC" w:rsidRDefault="004D78CB" w:rsidP="00CD78E9">
      <w:pPr>
        <w:rPr>
          <w:rFonts w:asciiTheme="minorHAnsi" w:hAnsiTheme="minorHAnsi" w:cstheme="minorHAnsi"/>
          <w:szCs w:val="22"/>
        </w:rPr>
      </w:pPr>
      <w:r w:rsidRPr="007D53AC">
        <w:rPr>
          <w:rFonts w:asciiTheme="minorHAnsi" w:hAnsiTheme="minorHAnsi" w:cstheme="minorHAnsi"/>
          <w:szCs w:val="22"/>
        </w:rPr>
        <w:t>The tab</w:t>
      </w:r>
      <w:r>
        <w:rPr>
          <w:rFonts w:asciiTheme="minorHAnsi" w:hAnsiTheme="minorHAnsi" w:cstheme="minorHAnsi"/>
          <w:szCs w:val="22"/>
        </w:rPr>
        <w:t>le below provides an example of how a variety of types of charges can be classified, i.e., Service cost or product cost.  These are based on TISA assumptions.</w:t>
      </w:r>
    </w:p>
    <w:p w14:paraId="456656BF" w14:textId="77777777" w:rsidR="005F75EA" w:rsidRPr="002E45F4" w:rsidRDefault="005F75EA" w:rsidP="00CD78E9">
      <w:pPr>
        <w:rPr>
          <w:rFonts w:asciiTheme="minorHAnsi" w:hAnsiTheme="minorHAnsi" w:cstheme="minorHAnsi"/>
          <w:b/>
          <w:i/>
          <w:sz w:val="24"/>
          <w:szCs w:val="22"/>
        </w:rPr>
      </w:pPr>
    </w:p>
    <w:p w14:paraId="18B80934" w14:textId="7577B946" w:rsidR="005F75EA" w:rsidRPr="002E45F4" w:rsidRDefault="005F75EA" w:rsidP="007D53AC">
      <w:pPr>
        <w:jc w:val="center"/>
        <w:rPr>
          <w:rFonts w:asciiTheme="minorHAnsi" w:hAnsiTheme="minorHAnsi" w:cstheme="minorHAnsi"/>
          <w:b/>
          <w:i/>
          <w:sz w:val="24"/>
          <w:szCs w:val="22"/>
        </w:rPr>
      </w:pPr>
      <w:r w:rsidRPr="002E45F4">
        <w:rPr>
          <w:rFonts w:asciiTheme="minorHAnsi" w:hAnsiTheme="minorHAnsi" w:cstheme="minorHAnsi"/>
          <w:b/>
          <w:i/>
          <w:sz w:val="24"/>
          <w:szCs w:val="22"/>
        </w:rPr>
        <w:t>Example Breakdown of detailed costs and charges</w:t>
      </w:r>
      <w:r w:rsidR="00AF1599" w:rsidRPr="002E45F4">
        <w:rPr>
          <w:rFonts w:asciiTheme="minorHAnsi" w:hAnsiTheme="minorHAnsi" w:cstheme="minorHAnsi"/>
          <w:b/>
          <w:i/>
          <w:sz w:val="24"/>
          <w:szCs w:val="22"/>
        </w:rPr>
        <w:t xml:space="preserve"> for a </w:t>
      </w:r>
      <w:r w:rsidR="00AF1599" w:rsidRPr="002E45F4">
        <w:rPr>
          <w:rFonts w:asciiTheme="minorHAnsi" w:hAnsiTheme="minorHAnsi" w:cstheme="minorHAnsi" w:hint="eastAsia"/>
          <w:b/>
          <w:i/>
          <w:sz w:val="24"/>
          <w:szCs w:val="22"/>
        </w:rPr>
        <w:t>“</w:t>
      </w:r>
      <w:r w:rsidR="00AF1599" w:rsidRPr="002E45F4">
        <w:rPr>
          <w:rFonts w:asciiTheme="minorHAnsi" w:hAnsiTheme="minorHAnsi" w:cstheme="minorHAnsi"/>
          <w:b/>
          <w:i/>
          <w:sz w:val="24"/>
          <w:szCs w:val="22"/>
        </w:rPr>
        <w:t>fund</w:t>
      </w:r>
      <w:r w:rsidR="00AF1599" w:rsidRPr="002E45F4">
        <w:rPr>
          <w:rFonts w:asciiTheme="minorHAnsi" w:hAnsiTheme="minorHAnsi" w:cstheme="minorHAnsi" w:hint="eastAsia"/>
          <w:b/>
          <w:i/>
          <w:sz w:val="24"/>
          <w:szCs w:val="22"/>
        </w:rPr>
        <w:t>”</w:t>
      </w:r>
    </w:p>
    <w:p w14:paraId="63E36E41" w14:textId="77777777" w:rsidR="005F75EA" w:rsidRDefault="005F75EA" w:rsidP="00CD78E9">
      <w:pPr>
        <w:rPr>
          <w:rFonts w:cstheme="minorHAnsi"/>
          <w:b/>
          <w:sz w:val="24"/>
        </w:rPr>
      </w:pPr>
    </w:p>
    <w:tbl>
      <w:tblPr>
        <w:tblW w:w="8472" w:type="dxa"/>
        <w:tblLook w:val="04A0" w:firstRow="1" w:lastRow="0" w:firstColumn="1" w:lastColumn="0" w:noHBand="0" w:noVBand="1"/>
      </w:tblPr>
      <w:tblGrid>
        <w:gridCol w:w="3840"/>
        <w:gridCol w:w="4632"/>
      </w:tblGrid>
      <w:tr w:rsidR="005F75EA" w14:paraId="7295E67A" w14:textId="77777777" w:rsidTr="00331B33">
        <w:trPr>
          <w:trHeight w:val="315"/>
        </w:trPr>
        <w:tc>
          <w:tcPr>
            <w:tcW w:w="3840" w:type="dxa"/>
            <w:tcBorders>
              <w:top w:val="nil"/>
              <w:left w:val="nil"/>
              <w:bottom w:val="single" w:sz="8" w:space="0" w:color="ED7D31"/>
              <w:right w:val="nil"/>
            </w:tcBorders>
            <w:shd w:val="clear" w:color="auto" w:fill="FFFFFF"/>
            <w:tcMar>
              <w:top w:w="15" w:type="dxa"/>
              <w:left w:w="108" w:type="dxa"/>
              <w:bottom w:w="15" w:type="dxa"/>
              <w:right w:w="108" w:type="dxa"/>
            </w:tcMar>
            <w:vAlign w:val="bottom"/>
            <w:hideMark/>
          </w:tcPr>
          <w:p w14:paraId="4059550A" w14:textId="77777777" w:rsidR="005F75EA" w:rsidRPr="007D53AC" w:rsidRDefault="005F75EA">
            <w:pPr>
              <w:rPr>
                <w:rFonts w:ascii="Gill Sans" w:hAnsi="Gill Sans"/>
                <w:b/>
                <w:bCs/>
                <w:color w:val="262626"/>
                <w:szCs w:val="16"/>
                <w:lang w:eastAsia="en-GB"/>
              </w:rPr>
            </w:pPr>
            <w:r w:rsidRPr="007D53AC">
              <w:rPr>
                <w:rFonts w:ascii="Gill Sans" w:hAnsi="Gill Sans"/>
                <w:b/>
                <w:bCs/>
                <w:color w:val="262626"/>
                <w:szCs w:val="16"/>
                <w:lang w:eastAsia="en-GB"/>
              </w:rPr>
              <w:t>Charge Type</w:t>
            </w:r>
          </w:p>
        </w:tc>
        <w:tc>
          <w:tcPr>
            <w:tcW w:w="4632" w:type="dxa"/>
            <w:tcBorders>
              <w:top w:val="nil"/>
              <w:left w:val="nil"/>
              <w:bottom w:val="single" w:sz="8" w:space="0" w:color="ED7D31"/>
              <w:right w:val="nil"/>
            </w:tcBorders>
            <w:shd w:val="clear" w:color="auto" w:fill="FFFFFF"/>
            <w:tcMar>
              <w:top w:w="15" w:type="dxa"/>
              <w:left w:w="108" w:type="dxa"/>
              <w:bottom w:w="15" w:type="dxa"/>
              <w:right w:w="108" w:type="dxa"/>
            </w:tcMar>
            <w:vAlign w:val="bottom"/>
            <w:hideMark/>
          </w:tcPr>
          <w:p w14:paraId="3E202771" w14:textId="77777777" w:rsidR="005F75EA" w:rsidRPr="007D53AC" w:rsidRDefault="005F75EA">
            <w:pPr>
              <w:rPr>
                <w:rFonts w:ascii="Gill Sans" w:hAnsi="Gill Sans"/>
                <w:b/>
                <w:bCs/>
                <w:color w:val="262626"/>
                <w:szCs w:val="16"/>
                <w:lang w:eastAsia="en-GB"/>
              </w:rPr>
            </w:pPr>
            <w:r w:rsidRPr="007D53AC">
              <w:rPr>
                <w:rFonts w:ascii="Gill Sans" w:hAnsi="Gill Sans"/>
                <w:b/>
                <w:bCs/>
                <w:color w:val="262626"/>
                <w:szCs w:val="16"/>
                <w:lang w:eastAsia="en-GB"/>
              </w:rPr>
              <w:t>TISA Classification</w:t>
            </w:r>
          </w:p>
        </w:tc>
      </w:tr>
      <w:tr w:rsidR="005F75EA" w14:paraId="2037EAB5" w14:textId="77777777" w:rsidTr="00331B33">
        <w:trPr>
          <w:trHeight w:val="315"/>
        </w:trPr>
        <w:tc>
          <w:tcPr>
            <w:tcW w:w="3840" w:type="dxa"/>
            <w:tcBorders>
              <w:top w:val="nil"/>
              <w:left w:val="nil"/>
              <w:bottom w:val="single" w:sz="8" w:space="0" w:color="auto"/>
              <w:right w:val="nil"/>
            </w:tcBorders>
            <w:tcMar>
              <w:top w:w="15" w:type="dxa"/>
              <w:left w:w="108" w:type="dxa"/>
              <w:bottom w:w="15" w:type="dxa"/>
              <w:right w:w="108" w:type="dxa"/>
            </w:tcMar>
            <w:vAlign w:val="bottom"/>
            <w:hideMark/>
          </w:tcPr>
          <w:p w14:paraId="7BB7BAA5"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Charges related to investment service</w:t>
            </w:r>
          </w:p>
        </w:tc>
        <w:tc>
          <w:tcPr>
            <w:tcW w:w="4632" w:type="dxa"/>
            <w:tcBorders>
              <w:top w:val="nil"/>
              <w:left w:val="nil"/>
              <w:bottom w:val="single" w:sz="8" w:space="0" w:color="auto"/>
              <w:right w:val="nil"/>
            </w:tcBorders>
            <w:tcMar>
              <w:top w:w="15" w:type="dxa"/>
              <w:left w:w="108" w:type="dxa"/>
              <w:bottom w:w="15" w:type="dxa"/>
              <w:right w:w="108" w:type="dxa"/>
            </w:tcMar>
            <w:vAlign w:val="bottom"/>
            <w:hideMark/>
          </w:tcPr>
          <w:p w14:paraId="52805489"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 </w:t>
            </w:r>
          </w:p>
        </w:tc>
      </w:tr>
      <w:tr w:rsidR="005F75EA" w14:paraId="127FE570" w14:textId="77777777" w:rsidTr="00331B33">
        <w:trPr>
          <w:trHeight w:val="300"/>
        </w:trPr>
        <w:tc>
          <w:tcPr>
            <w:tcW w:w="3840" w:type="dxa"/>
            <w:tcMar>
              <w:top w:w="15" w:type="dxa"/>
              <w:left w:w="108" w:type="dxa"/>
              <w:bottom w:w="15" w:type="dxa"/>
              <w:right w:w="108" w:type="dxa"/>
            </w:tcMar>
            <w:vAlign w:val="bottom"/>
            <w:hideMark/>
          </w:tcPr>
          <w:p w14:paraId="1C33DA8D"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One-off Fees/Costs</w:t>
            </w:r>
          </w:p>
        </w:tc>
        <w:tc>
          <w:tcPr>
            <w:tcW w:w="4632" w:type="dxa"/>
            <w:tcMar>
              <w:top w:w="15" w:type="dxa"/>
              <w:left w:w="108" w:type="dxa"/>
              <w:bottom w:w="15" w:type="dxa"/>
              <w:right w:w="108" w:type="dxa"/>
            </w:tcMar>
            <w:vAlign w:val="bottom"/>
            <w:hideMark/>
          </w:tcPr>
          <w:p w14:paraId="0C5420ED"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Service Costs – One-off charges</w:t>
            </w:r>
          </w:p>
        </w:tc>
      </w:tr>
      <w:tr w:rsidR="005F75EA" w14:paraId="07663EFD" w14:textId="77777777" w:rsidTr="00331B33">
        <w:trPr>
          <w:trHeight w:val="300"/>
        </w:trPr>
        <w:tc>
          <w:tcPr>
            <w:tcW w:w="3840" w:type="dxa"/>
            <w:tcMar>
              <w:top w:w="15" w:type="dxa"/>
              <w:left w:w="108" w:type="dxa"/>
              <w:bottom w:w="15" w:type="dxa"/>
              <w:right w:w="108" w:type="dxa"/>
            </w:tcMar>
            <w:vAlign w:val="bottom"/>
            <w:hideMark/>
          </w:tcPr>
          <w:p w14:paraId="4F91BC26"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Administration Fees/Costs</w:t>
            </w:r>
          </w:p>
        </w:tc>
        <w:tc>
          <w:tcPr>
            <w:tcW w:w="4632" w:type="dxa"/>
            <w:tcMar>
              <w:top w:w="15" w:type="dxa"/>
              <w:left w:w="108" w:type="dxa"/>
              <w:bottom w:w="15" w:type="dxa"/>
              <w:right w:w="108" w:type="dxa"/>
            </w:tcMar>
            <w:vAlign w:val="bottom"/>
            <w:hideMark/>
          </w:tcPr>
          <w:p w14:paraId="24EBDC11"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One-off charges</w:t>
            </w:r>
          </w:p>
        </w:tc>
      </w:tr>
      <w:tr w:rsidR="005F75EA" w14:paraId="6ED4623F" w14:textId="77777777" w:rsidTr="00331B33">
        <w:trPr>
          <w:trHeight w:val="300"/>
        </w:trPr>
        <w:tc>
          <w:tcPr>
            <w:tcW w:w="3840" w:type="dxa"/>
            <w:tcMar>
              <w:top w:w="15" w:type="dxa"/>
              <w:left w:w="108" w:type="dxa"/>
              <w:bottom w:w="15" w:type="dxa"/>
              <w:right w:w="108" w:type="dxa"/>
            </w:tcMar>
            <w:vAlign w:val="bottom"/>
            <w:hideMark/>
          </w:tcPr>
          <w:p w14:paraId="788B15F8"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Initial Advice Fee</w:t>
            </w:r>
          </w:p>
        </w:tc>
        <w:tc>
          <w:tcPr>
            <w:tcW w:w="4632" w:type="dxa"/>
            <w:tcMar>
              <w:top w:w="15" w:type="dxa"/>
              <w:left w:w="108" w:type="dxa"/>
              <w:bottom w:w="15" w:type="dxa"/>
              <w:right w:w="108" w:type="dxa"/>
            </w:tcMar>
            <w:vAlign w:val="bottom"/>
            <w:hideMark/>
          </w:tcPr>
          <w:p w14:paraId="0AD6D5CA"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One-off charges</w:t>
            </w:r>
          </w:p>
        </w:tc>
      </w:tr>
      <w:tr w:rsidR="005F75EA" w14:paraId="383DF39C" w14:textId="77777777" w:rsidTr="00331B33">
        <w:trPr>
          <w:trHeight w:val="300"/>
        </w:trPr>
        <w:tc>
          <w:tcPr>
            <w:tcW w:w="3840" w:type="dxa"/>
            <w:tcMar>
              <w:top w:w="15" w:type="dxa"/>
              <w:left w:w="108" w:type="dxa"/>
              <w:bottom w:w="15" w:type="dxa"/>
              <w:right w:w="108" w:type="dxa"/>
            </w:tcMar>
            <w:vAlign w:val="bottom"/>
            <w:hideMark/>
          </w:tcPr>
          <w:p w14:paraId="64CA101B"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Initial Discussion Fee</w:t>
            </w:r>
          </w:p>
        </w:tc>
        <w:tc>
          <w:tcPr>
            <w:tcW w:w="4632" w:type="dxa"/>
            <w:tcMar>
              <w:top w:w="15" w:type="dxa"/>
              <w:left w:w="108" w:type="dxa"/>
              <w:bottom w:w="15" w:type="dxa"/>
              <w:right w:w="108" w:type="dxa"/>
            </w:tcMar>
            <w:vAlign w:val="bottom"/>
            <w:hideMark/>
          </w:tcPr>
          <w:p w14:paraId="36D8DA5D"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One-off charges</w:t>
            </w:r>
          </w:p>
        </w:tc>
      </w:tr>
      <w:tr w:rsidR="005F75EA" w14:paraId="5FF2A007" w14:textId="77777777" w:rsidTr="00331B33">
        <w:trPr>
          <w:trHeight w:val="300"/>
        </w:trPr>
        <w:tc>
          <w:tcPr>
            <w:tcW w:w="3840" w:type="dxa"/>
            <w:tcMar>
              <w:top w:w="15" w:type="dxa"/>
              <w:left w:w="108" w:type="dxa"/>
              <w:bottom w:w="15" w:type="dxa"/>
              <w:right w:w="108" w:type="dxa"/>
            </w:tcMar>
            <w:vAlign w:val="bottom"/>
            <w:hideMark/>
          </w:tcPr>
          <w:p w14:paraId="3BB768A3"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Deposit fees</w:t>
            </w:r>
          </w:p>
        </w:tc>
        <w:tc>
          <w:tcPr>
            <w:tcW w:w="4632" w:type="dxa"/>
            <w:tcMar>
              <w:top w:w="15" w:type="dxa"/>
              <w:left w:w="108" w:type="dxa"/>
              <w:bottom w:w="15" w:type="dxa"/>
              <w:right w:w="108" w:type="dxa"/>
            </w:tcMar>
            <w:vAlign w:val="bottom"/>
            <w:hideMark/>
          </w:tcPr>
          <w:p w14:paraId="0635FB34"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One-off charges</w:t>
            </w:r>
          </w:p>
        </w:tc>
      </w:tr>
      <w:tr w:rsidR="005F75EA" w14:paraId="4EC64A6B" w14:textId="77777777" w:rsidTr="00331B33">
        <w:trPr>
          <w:trHeight w:val="300"/>
        </w:trPr>
        <w:tc>
          <w:tcPr>
            <w:tcW w:w="3840" w:type="dxa"/>
            <w:tcBorders>
              <w:top w:val="nil"/>
              <w:left w:val="nil"/>
              <w:bottom w:val="single" w:sz="4" w:space="0" w:color="auto"/>
              <w:right w:val="nil"/>
            </w:tcBorders>
            <w:tcMar>
              <w:top w:w="15" w:type="dxa"/>
              <w:left w:w="108" w:type="dxa"/>
              <w:bottom w:w="15" w:type="dxa"/>
              <w:right w:w="108" w:type="dxa"/>
            </w:tcMar>
            <w:vAlign w:val="bottom"/>
            <w:hideMark/>
          </w:tcPr>
          <w:p w14:paraId="79F217D6" w14:textId="2B0C4F58" w:rsidR="005F75EA" w:rsidRDefault="001F5422">
            <w:pPr>
              <w:rPr>
                <w:rFonts w:ascii="Gill Sans" w:hAnsi="Gill Sans"/>
                <w:color w:val="262626"/>
                <w:sz w:val="16"/>
                <w:szCs w:val="16"/>
                <w:lang w:eastAsia="en-GB"/>
              </w:rPr>
            </w:pPr>
            <w:r>
              <w:rPr>
                <w:rFonts w:ascii="Gill Sans" w:hAnsi="Gill Sans"/>
                <w:color w:val="262626"/>
                <w:sz w:val="16"/>
                <w:szCs w:val="16"/>
                <w:lang w:eastAsia="en-GB"/>
              </w:rPr>
              <w:t>Termination</w:t>
            </w:r>
            <w:r w:rsidR="005F75EA">
              <w:rPr>
                <w:rFonts w:ascii="Gill Sans" w:hAnsi="Gill Sans"/>
                <w:color w:val="262626"/>
                <w:sz w:val="16"/>
                <w:szCs w:val="16"/>
                <w:lang w:eastAsia="en-GB"/>
              </w:rPr>
              <w:t xml:space="preserve"> fees</w:t>
            </w:r>
          </w:p>
        </w:tc>
        <w:tc>
          <w:tcPr>
            <w:tcW w:w="4632" w:type="dxa"/>
            <w:tcBorders>
              <w:top w:val="nil"/>
              <w:left w:val="nil"/>
              <w:bottom w:val="single" w:sz="4" w:space="0" w:color="auto"/>
              <w:right w:val="nil"/>
            </w:tcBorders>
            <w:tcMar>
              <w:top w:w="15" w:type="dxa"/>
              <w:left w:w="108" w:type="dxa"/>
              <w:bottom w:w="15" w:type="dxa"/>
              <w:right w:w="108" w:type="dxa"/>
            </w:tcMar>
            <w:vAlign w:val="bottom"/>
            <w:hideMark/>
          </w:tcPr>
          <w:p w14:paraId="57897124"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One-off charges</w:t>
            </w:r>
          </w:p>
        </w:tc>
      </w:tr>
      <w:tr w:rsidR="005F75EA" w14:paraId="20170B23" w14:textId="77777777" w:rsidTr="00331B33">
        <w:trPr>
          <w:trHeight w:val="300"/>
        </w:trPr>
        <w:tc>
          <w:tcPr>
            <w:tcW w:w="3840" w:type="dxa"/>
            <w:tcMar>
              <w:top w:w="15" w:type="dxa"/>
              <w:left w:w="108" w:type="dxa"/>
              <w:bottom w:w="15" w:type="dxa"/>
              <w:right w:w="108" w:type="dxa"/>
            </w:tcMar>
            <w:vAlign w:val="bottom"/>
            <w:hideMark/>
          </w:tcPr>
          <w:p w14:paraId="2821CAA2"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Transaction Fees/Costs</w:t>
            </w:r>
          </w:p>
        </w:tc>
        <w:tc>
          <w:tcPr>
            <w:tcW w:w="4632" w:type="dxa"/>
            <w:tcMar>
              <w:top w:w="15" w:type="dxa"/>
              <w:left w:w="108" w:type="dxa"/>
              <w:bottom w:w="15" w:type="dxa"/>
              <w:right w:w="108" w:type="dxa"/>
            </w:tcMar>
            <w:vAlign w:val="bottom"/>
            <w:hideMark/>
          </w:tcPr>
          <w:p w14:paraId="33676193"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Service Costs – Transaction Costs</w:t>
            </w:r>
          </w:p>
        </w:tc>
      </w:tr>
      <w:tr w:rsidR="005F75EA" w14:paraId="12575F1C" w14:textId="77777777" w:rsidTr="00331B33">
        <w:trPr>
          <w:trHeight w:val="300"/>
        </w:trPr>
        <w:tc>
          <w:tcPr>
            <w:tcW w:w="3840" w:type="dxa"/>
            <w:tcMar>
              <w:top w:w="15" w:type="dxa"/>
              <w:left w:w="108" w:type="dxa"/>
              <w:bottom w:w="15" w:type="dxa"/>
              <w:right w:w="108" w:type="dxa"/>
            </w:tcMar>
            <w:vAlign w:val="bottom"/>
            <w:hideMark/>
          </w:tcPr>
          <w:p w14:paraId="2F13032D"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FX Forward Costs</w:t>
            </w:r>
          </w:p>
        </w:tc>
        <w:tc>
          <w:tcPr>
            <w:tcW w:w="4632" w:type="dxa"/>
            <w:tcMar>
              <w:top w:w="15" w:type="dxa"/>
              <w:left w:w="108" w:type="dxa"/>
              <w:bottom w:w="15" w:type="dxa"/>
              <w:right w:w="108" w:type="dxa"/>
            </w:tcMar>
            <w:vAlign w:val="bottom"/>
            <w:hideMark/>
          </w:tcPr>
          <w:p w14:paraId="076D9770"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Transaction Costs</w:t>
            </w:r>
          </w:p>
        </w:tc>
      </w:tr>
      <w:tr w:rsidR="005F75EA" w14:paraId="1B31F4EB" w14:textId="77777777" w:rsidTr="00331B33">
        <w:trPr>
          <w:trHeight w:val="300"/>
        </w:trPr>
        <w:tc>
          <w:tcPr>
            <w:tcW w:w="3840" w:type="dxa"/>
            <w:tcMar>
              <w:top w:w="15" w:type="dxa"/>
              <w:left w:w="108" w:type="dxa"/>
              <w:bottom w:w="15" w:type="dxa"/>
              <w:right w:w="108" w:type="dxa"/>
            </w:tcMar>
            <w:vAlign w:val="bottom"/>
            <w:hideMark/>
          </w:tcPr>
          <w:p w14:paraId="3CE86A39"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FX Spot Costs</w:t>
            </w:r>
          </w:p>
        </w:tc>
        <w:tc>
          <w:tcPr>
            <w:tcW w:w="4632" w:type="dxa"/>
            <w:tcMar>
              <w:top w:w="15" w:type="dxa"/>
              <w:left w:w="108" w:type="dxa"/>
              <w:bottom w:w="15" w:type="dxa"/>
              <w:right w:w="108" w:type="dxa"/>
            </w:tcMar>
            <w:vAlign w:val="bottom"/>
            <w:hideMark/>
          </w:tcPr>
          <w:p w14:paraId="3B3FD74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Transaction Costs</w:t>
            </w:r>
          </w:p>
        </w:tc>
      </w:tr>
      <w:tr w:rsidR="005F75EA" w14:paraId="24963BB9" w14:textId="77777777" w:rsidTr="00331B33">
        <w:trPr>
          <w:trHeight w:val="300"/>
        </w:trPr>
        <w:tc>
          <w:tcPr>
            <w:tcW w:w="3840" w:type="dxa"/>
            <w:tcMar>
              <w:top w:w="15" w:type="dxa"/>
              <w:left w:w="108" w:type="dxa"/>
              <w:bottom w:w="15" w:type="dxa"/>
              <w:right w:w="108" w:type="dxa"/>
            </w:tcMar>
            <w:vAlign w:val="bottom"/>
            <w:hideMark/>
          </w:tcPr>
          <w:p w14:paraId="668D8B19"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Interest Rate Swap Costs</w:t>
            </w:r>
          </w:p>
        </w:tc>
        <w:tc>
          <w:tcPr>
            <w:tcW w:w="4632" w:type="dxa"/>
            <w:tcMar>
              <w:top w:w="15" w:type="dxa"/>
              <w:left w:w="108" w:type="dxa"/>
              <w:bottom w:w="15" w:type="dxa"/>
              <w:right w:w="108" w:type="dxa"/>
            </w:tcMar>
            <w:vAlign w:val="bottom"/>
            <w:hideMark/>
          </w:tcPr>
          <w:p w14:paraId="5F1E32F8"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4FD57E94" w14:textId="77777777" w:rsidTr="00331B33">
        <w:trPr>
          <w:trHeight w:val="300"/>
        </w:trPr>
        <w:tc>
          <w:tcPr>
            <w:tcW w:w="3840" w:type="dxa"/>
            <w:tcBorders>
              <w:top w:val="nil"/>
              <w:left w:val="nil"/>
              <w:bottom w:val="single" w:sz="4" w:space="0" w:color="auto"/>
              <w:right w:val="nil"/>
            </w:tcBorders>
            <w:tcMar>
              <w:top w:w="15" w:type="dxa"/>
              <w:left w:w="108" w:type="dxa"/>
              <w:bottom w:w="15" w:type="dxa"/>
              <w:right w:w="108" w:type="dxa"/>
            </w:tcMar>
            <w:vAlign w:val="bottom"/>
            <w:hideMark/>
          </w:tcPr>
          <w:p w14:paraId="327DE3B4"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Platform Fee</w:t>
            </w:r>
          </w:p>
        </w:tc>
        <w:tc>
          <w:tcPr>
            <w:tcW w:w="4632" w:type="dxa"/>
            <w:tcBorders>
              <w:top w:val="nil"/>
              <w:left w:val="nil"/>
              <w:bottom w:val="single" w:sz="4" w:space="0" w:color="auto"/>
              <w:right w:val="nil"/>
            </w:tcBorders>
            <w:tcMar>
              <w:top w:w="15" w:type="dxa"/>
              <w:left w:w="108" w:type="dxa"/>
              <w:bottom w:w="15" w:type="dxa"/>
              <w:right w:w="108" w:type="dxa"/>
            </w:tcMar>
            <w:vAlign w:val="bottom"/>
            <w:hideMark/>
          </w:tcPr>
          <w:p w14:paraId="22952C69"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Transaction Costs</w:t>
            </w:r>
          </w:p>
        </w:tc>
      </w:tr>
      <w:tr w:rsidR="005F75EA" w14:paraId="0BE4D102" w14:textId="77777777" w:rsidTr="00331B33">
        <w:trPr>
          <w:trHeight w:val="300"/>
        </w:trPr>
        <w:tc>
          <w:tcPr>
            <w:tcW w:w="3840" w:type="dxa"/>
            <w:tcMar>
              <w:top w:w="15" w:type="dxa"/>
              <w:left w:w="108" w:type="dxa"/>
              <w:bottom w:w="15" w:type="dxa"/>
              <w:right w:w="108" w:type="dxa"/>
            </w:tcMar>
            <w:vAlign w:val="bottom"/>
            <w:hideMark/>
          </w:tcPr>
          <w:p w14:paraId="4C65C3B7"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On-going Fees/Costs</w:t>
            </w:r>
          </w:p>
        </w:tc>
        <w:tc>
          <w:tcPr>
            <w:tcW w:w="4632" w:type="dxa"/>
            <w:tcMar>
              <w:top w:w="15" w:type="dxa"/>
              <w:left w:w="108" w:type="dxa"/>
              <w:bottom w:w="15" w:type="dxa"/>
              <w:right w:w="108" w:type="dxa"/>
            </w:tcMar>
            <w:vAlign w:val="bottom"/>
            <w:hideMark/>
          </w:tcPr>
          <w:p w14:paraId="7712160C"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Service Costs – Ongoing Costs</w:t>
            </w:r>
          </w:p>
        </w:tc>
      </w:tr>
      <w:tr w:rsidR="005F75EA" w14:paraId="0E7F0BBF" w14:textId="77777777" w:rsidTr="00331B33">
        <w:trPr>
          <w:trHeight w:val="300"/>
        </w:trPr>
        <w:tc>
          <w:tcPr>
            <w:tcW w:w="3840" w:type="dxa"/>
            <w:tcMar>
              <w:top w:w="15" w:type="dxa"/>
              <w:left w:w="108" w:type="dxa"/>
              <w:bottom w:w="15" w:type="dxa"/>
              <w:right w:w="108" w:type="dxa"/>
            </w:tcMar>
            <w:vAlign w:val="bottom"/>
            <w:hideMark/>
          </w:tcPr>
          <w:p w14:paraId="6432FCEF"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ISA Administration Fee</w:t>
            </w:r>
          </w:p>
        </w:tc>
        <w:tc>
          <w:tcPr>
            <w:tcW w:w="4632" w:type="dxa"/>
            <w:tcMar>
              <w:top w:w="15" w:type="dxa"/>
              <w:left w:w="108" w:type="dxa"/>
              <w:bottom w:w="15" w:type="dxa"/>
              <w:right w:w="108" w:type="dxa"/>
            </w:tcMar>
            <w:vAlign w:val="bottom"/>
            <w:hideMark/>
          </w:tcPr>
          <w:p w14:paraId="131E5A68"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Ongoing Costs</w:t>
            </w:r>
          </w:p>
        </w:tc>
      </w:tr>
      <w:tr w:rsidR="005F75EA" w14:paraId="57EEA07F" w14:textId="77777777" w:rsidTr="00331B33">
        <w:trPr>
          <w:trHeight w:val="300"/>
        </w:trPr>
        <w:tc>
          <w:tcPr>
            <w:tcW w:w="3840" w:type="dxa"/>
            <w:tcMar>
              <w:top w:w="15" w:type="dxa"/>
              <w:left w:w="108" w:type="dxa"/>
              <w:bottom w:w="15" w:type="dxa"/>
              <w:right w:w="108" w:type="dxa"/>
            </w:tcMar>
            <w:vAlign w:val="bottom"/>
            <w:hideMark/>
          </w:tcPr>
          <w:p w14:paraId="3AF24833"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Management Fee</w:t>
            </w:r>
          </w:p>
        </w:tc>
        <w:tc>
          <w:tcPr>
            <w:tcW w:w="4632" w:type="dxa"/>
            <w:tcMar>
              <w:top w:w="15" w:type="dxa"/>
              <w:left w:w="108" w:type="dxa"/>
              <w:bottom w:w="15" w:type="dxa"/>
              <w:right w:w="108" w:type="dxa"/>
            </w:tcMar>
            <w:vAlign w:val="bottom"/>
            <w:hideMark/>
          </w:tcPr>
          <w:p w14:paraId="7BC88DA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Ongoing Costs</w:t>
            </w:r>
          </w:p>
        </w:tc>
      </w:tr>
      <w:tr w:rsidR="005F75EA" w14:paraId="297E53AC" w14:textId="77777777" w:rsidTr="00331B33">
        <w:trPr>
          <w:trHeight w:val="300"/>
        </w:trPr>
        <w:tc>
          <w:tcPr>
            <w:tcW w:w="3840" w:type="dxa"/>
            <w:tcMar>
              <w:top w:w="15" w:type="dxa"/>
              <w:left w:w="108" w:type="dxa"/>
              <w:bottom w:w="15" w:type="dxa"/>
              <w:right w:w="108" w:type="dxa"/>
            </w:tcMar>
            <w:vAlign w:val="bottom"/>
            <w:hideMark/>
          </w:tcPr>
          <w:p w14:paraId="789012C2"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Ongoing Advice Fee</w:t>
            </w:r>
          </w:p>
        </w:tc>
        <w:tc>
          <w:tcPr>
            <w:tcW w:w="4632" w:type="dxa"/>
            <w:tcMar>
              <w:top w:w="15" w:type="dxa"/>
              <w:left w:w="108" w:type="dxa"/>
              <w:bottom w:w="15" w:type="dxa"/>
              <w:right w:w="108" w:type="dxa"/>
            </w:tcMar>
            <w:vAlign w:val="bottom"/>
            <w:hideMark/>
          </w:tcPr>
          <w:p w14:paraId="4A2C888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Ongoing Costs</w:t>
            </w:r>
          </w:p>
        </w:tc>
      </w:tr>
      <w:tr w:rsidR="005F75EA" w14:paraId="6787EC91" w14:textId="77777777" w:rsidTr="00331B33">
        <w:trPr>
          <w:trHeight w:val="300"/>
        </w:trPr>
        <w:tc>
          <w:tcPr>
            <w:tcW w:w="3840" w:type="dxa"/>
            <w:tcMar>
              <w:top w:w="15" w:type="dxa"/>
              <w:left w:w="108" w:type="dxa"/>
              <w:bottom w:w="15" w:type="dxa"/>
              <w:right w:w="108" w:type="dxa"/>
            </w:tcMar>
            <w:vAlign w:val="bottom"/>
            <w:hideMark/>
          </w:tcPr>
          <w:p w14:paraId="6E5CC2E6"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Leveraged Lending Cost</w:t>
            </w:r>
          </w:p>
        </w:tc>
        <w:tc>
          <w:tcPr>
            <w:tcW w:w="4632" w:type="dxa"/>
            <w:tcMar>
              <w:top w:w="15" w:type="dxa"/>
              <w:left w:w="108" w:type="dxa"/>
              <w:bottom w:w="15" w:type="dxa"/>
              <w:right w:w="108" w:type="dxa"/>
            </w:tcMar>
            <w:vAlign w:val="bottom"/>
            <w:hideMark/>
          </w:tcPr>
          <w:p w14:paraId="77ADF474"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Ongoing Costs</w:t>
            </w:r>
          </w:p>
        </w:tc>
      </w:tr>
      <w:tr w:rsidR="005F75EA" w14:paraId="7B0CBF74" w14:textId="77777777" w:rsidTr="00331B33">
        <w:trPr>
          <w:trHeight w:val="300"/>
        </w:trPr>
        <w:tc>
          <w:tcPr>
            <w:tcW w:w="3840" w:type="dxa"/>
            <w:tcMar>
              <w:top w:w="15" w:type="dxa"/>
              <w:left w:w="108" w:type="dxa"/>
              <w:bottom w:w="15" w:type="dxa"/>
              <w:right w:w="108" w:type="dxa"/>
            </w:tcMar>
            <w:vAlign w:val="bottom"/>
            <w:hideMark/>
          </w:tcPr>
          <w:p w14:paraId="648B5C34"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Tax Reporting Fee</w:t>
            </w:r>
          </w:p>
        </w:tc>
        <w:tc>
          <w:tcPr>
            <w:tcW w:w="4632" w:type="dxa"/>
            <w:tcMar>
              <w:top w:w="15" w:type="dxa"/>
              <w:left w:w="108" w:type="dxa"/>
              <w:bottom w:w="15" w:type="dxa"/>
              <w:right w:w="108" w:type="dxa"/>
            </w:tcMar>
            <w:vAlign w:val="bottom"/>
            <w:hideMark/>
          </w:tcPr>
          <w:p w14:paraId="515D157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Ongoing Costs</w:t>
            </w:r>
          </w:p>
        </w:tc>
      </w:tr>
      <w:tr w:rsidR="005F75EA" w14:paraId="1D7F349D" w14:textId="77777777" w:rsidTr="00331B33">
        <w:trPr>
          <w:trHeight w:val="300"/>
        </w:trPr>
        <w:tc>
          <w:tcPr>
            <w:tcW w:w="3840" w:type="dxa"/>
            <w:tcBorders>
              <w:top w:val="nil"/>
              <w:left w:val="nil"/>
              <w:bottom w:val="single" w:sz="4" w:space="0" w:color="auto"/>
              <w:right w:val="nil"/>
            </w:tcBorders>
            <w:tcMar>
              <w:top w:w="15" w:type="dxa"/>
              <w:left w:w="108" w:type="dxa"/>
              <w:bottom w:w="15" w:type="dxa"/>
              <w:right w:w="108" w:type="dxa"/>
            </w:tcMar>
            <w:vAlign w:val="bottom"/>
            <w:hideMark/>
          </w:tcPr>
          <w:p w14:paraId="3319CDD0"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Trust Fee</w:t>
            </w:r>
          </w:p>
        </w:tc>
        <w:tc>
          <w:tcPr>
            <w:tcW w:w="4632" w:type="dxa"/>
            <w:tcBorders>
              <w:top w:val="nil"/>
              <w:left w:val="nil"/>
              <w:bottom w:val="single" w:sz="4" w:space="0" w:color="auto"/>
              <w:right w:val="nil"/>
            </w:tcBorders>
            <w:tcMar>
              <w:top w:w="15" w:type="dxa"/>
              <w:left w:w="108" w:type="dxa"/>
              <w:bottom w:w="15" w:type="dxa"/>
              <w:right w:w="108" w:type="dxa"/>
            </w:tcMar>
            <w:vAlign w:val="bottom"/>
            <w:hideMark/>
          </w:tcPr>
          <w:p w14:paraId="7FF9640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Ongoing Costs</w:t>
            </w:r>
          </w:p>
        </w:tc>
      </w:tr>
      <w:tr w:rsidR="005F75EA" w14:paraId="0817CFE8" w14:textId="77777777" w:rsidTr="00331B33">
        <w:trPr>
          <w:trHeight w:val="300"/>
        </w:trPr>
        <w:tc>
          <w:tcPr>
            <w:tcW w:w="3840" w:type="dxa"/>
            <w:tcMar>
              <w:top w:w="15" w:type="dxa"/>
              <w:left w:w="108" w:type="dxa"/>
              <w:bottom w:w="15" w:type="dxa"/>
              <w:right w:w="108" w:type="dxa"/>
            </w:tcMar>
            <w:vAlign w:val="bottom"/>
            <w:hideMark/>
          </w:tcPr>
          <w:p w14:paraId="34123D3C"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Ancillary Costs</w:t>
            </w:r>
          </w:p>
        </w:tc>
        <w:tc>
          <w:tcPr>
            <w:tcW w:w="4632" w:type="dxa"/>
            <w:tcMar>
              <w:top w:w="15" w:type="dxa"/>
              <w:left w:w="108" w:type="dxa"/>
              <w:bottom w:w="15" w:type="dxa"/>
              <w:right w:w="108" w:type="dxa"/>
            </w:tcMar>
            <w:vAlign w:val="bottom"/>
            <w:hideMark/>
          </w:tcPr>
          <w:p w14:paraId="3AC3E43D"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 xml:space="preserve"> Service Costs – Ancillary Costs</w:t>
            </w:r>
          </w:p>
        </w:tc>
      </w:tr>
      <w:tr w:rsidR="005F75EA" w14:paraId="545B8FEC" w14:textId="77777777" w:rsidTr="00331B33">
        <w:trPr>
          <w:trHeight w:val="300"/>
        </w:trPr>
        <w:tc>
          <w:tcPr>
            <w:tcW w:w="3840" w:type="dxa"/>
            <w:tcMar>
              <w:top w:w="15" w:type="dxa"/>
              <w:left w:w="108" w:type="dxa"/>
              <w:bottom w:w="15" w:type="dxa"/>
              <w:right w:w="108" w:type="dxa"/>
            </w:tcMar>
            <w:vAlign w:val="bottom"/>
            <w:hideMark/>
          </w:tcPr>
          <w:p w14:paraId="148F9F4C"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Custody Fee</w:t>
            </w:r>
          </w:p>
        </w:tc>
        <w:tc>
          <w:tcPr>
            <w:tcW w:w="4632" w:type="dxa"/>
            <w:tcMar>
              <w:top w:w="15" w:type="dxa"/>
              <w:left w:w="108" w:type="dxa"/>
              <w:bottom w:w="15" w:type="dxa"/>
              <w:right w:w="108" w:type="dxa"/>
            </w:tcMar>
            <w:vAlign w:val="bottom"/>
            <w:hideMark/>
          </w:tcPr>
          <w:p w14:paraId="64DED9EF"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Ancillary Costs</w:t>
            </w:r>
          </w:p>
        </w:tc>
      </w:tr>
      <w:tr w:rsidR="005F75EA" w14:paraId="748185EB" w14:textId="77777777" w:rsidTr="00331B33">
        <w:trPr>
          <w:trHeight w:val="300"/>
        </w:trPr>
        <w:tc>
          <w:tcPr>
            <w:tcW w:w="3840" w:type="dxa"/>
            <w:tcBorders>
              <w:top w:val="nil"/>
              <w:left w:val="nil"/>
              <w:bottom w:val="single" w:sz="4" w:space="0" w:color="auto"/>
              <w:right w:val="nil"/>
            </w:tcBorders>
            <w:tcMar>
              <w:top w:w="15" w:type="dxa"/>
              <w:left w:w="108" w:type="dxa"/>
              <w:bottom w:w="15" w:type="dxa"/>
              <w:right w:w="108" w:type="dxa"/>
            </w:tcMar>
            <w:vAlign w:val="bottom"/>
            <w:hideMark/>
          </w:tcPr>
          <w:p w14:paraId="57AD325D"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Research Costs</w:t>
            </w:r>
          </w:p>
        </w:tc>
        <w:tc>
          <w:tcPr>
            <w:tcW w:w="4632" w:type="dxa"/>
            <w:tcBorders>
              <w:top w:val="nil"/>
              <w:left w:val="nil"/>
              <w:bottom w:val="single" w:sz="4" w:space="0" w:color="auto"/>
              <w:right w:val="nil"/>
            </w:tcBorders>
            <w:tcMar>
              <w:top w:w="15" w:type="dxa"/>
              <w:left w:w="108" w:type="dxa"/>
              <w:bottom w:w="15" w:type="dxa"/>
              <w:right w:w="108" w:type="dxa"/>
            </w:tcMar>
            <w:vAlign w:val="bottom"/>
            <w:hideMark/>
          </w:tcPr>
          <w:p w14:paraId="2A720DA0"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Ancillary Costs</w:t>
            </w:r>
          </w:p>
        </w:tc>
      </w:tr>
      <w:tr w:rsidR="005F75EA" w14:paraId="6065815D" w14:textId="77777777" w:rsidTr="00331B33">
        <w:trPr>
          <w:trHeight w:val="300"/>
        </w:trPr>
        <w:tc>
          <w:tcPr>
            <w:tcW w:w="3840" w:type="dxa"/>
            <w:tcMar>
              <w:top w:w="15" w:type="dxa"/>
              <w:left w:w="108" w:type="dxa"/>
              <w:bottom w:w="15" w:type="dxa"/>
              <w:right w:w="108" w:type="dxa"/>
            </w:tcMar>
            <w:vAlign w:val="bottom"/>
            <w:hideMark/>
          </w:tcPr>
          <w:p w14:paraId="27FB7D90"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Incidental Costs</w:t>
            </w:r>
          </w:p>
        </w:tc>
        <w:tc>
          <w:tcPr>
            <w:tcW w:w="4632" w:type="dxa"/>
            <w:tcMar>
              <w:top w:w="15" w:type="dxa"/>
              <w:left w:w="108" w:type="dxa"/>
              <w:bottom w:w="15" w:type="dxa"/>
              <w:right w:w="108" w:type="dxa"/>
            </w:tcMar>
            <w:vAlign w:val="bottom"/>
            <w:hideMark/>
          </w:tcPr>
          <w:p w14:paraId="760CB415"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Service Costs – Incidental Costs</w:t>
            </w:r>
          </w:p>
        </w:tc>
      </w:tr>
      <w:tr w:rsidR="005F75EA" w14:paraId="2DB6EDD9" w14:textId="77777777" w:rsidTr="00331B33">
        <w:trPr>
          <w:trHeight w:val="315"/>
        </w:trPr>
        <w:tc>
          <w:tcPr>
            <w:tcW w:w="3840" w:type="dxa"/>
            <w:tcBorders>
              <w:top w:val="nil"/>
              <w:left w:val="nil"/>
              <w:bottom w:val="single" w:sz="8" w:space="0" w:color="auto"/>
              <w:right w:val="nil"/>
            </w:tcBorders>
            <w:tcMar>
              <w:top w:w="15" w:type="dxa"/>
              <w:left w:w="108" w:type="dxa"/>
              <w:bottom w:w="15" w:type="dxa"/>
              <w:right w:w="108" w:type="dxa"/>
            </w:tcMar>
            <w:vAlign w:val="bottom"/>
            <w:hideMark/>
          </w:tcPr>
          <w:p w14:paraId="3120B0AA"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Performance Fees</w:t>
            </w:r>
          </w:p>
        </w:tc>
        <w:tc>
          <w:tcPr>
            <w:tcW w:w="4632" w:type="dxa"/>
            <w:tcBorders>
              <w:top w:val="nil"/>
              <w:left w:val="nil"/>
              <w:bottom w:val="single" w:sz="8" w:space="0" w:color="auto"/>
              <w:right w:val="nil"/>
            </w:tcBorders>
            <w:tcMar>
              <w:top w:w="15" w:type="dxa"/>
              <w:left w:w="108" w:type="dxa"/>
              <w:bottom w:w="15" w:type="dxa"/>
              <w:right w:w="108" w:type="dxa"/>
            </w:tcMar>
            <w:vAlign w:val="bottom"/>
            <w:hideMark/>
          </w:tcPr>
          <w:p w14:paraId="4E264877"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Service Costs – Incidental Costs</w:t>
            </w:r>
          </w:p>
        </w:tc>
      </w:tr>
      <w:tr w:rsidR="005F75EA" w14:paraId="193ABC98" w14:textId="77777777" w:rsidTr="00331B33">
        <w:trPr>
          <w:trHeight w:val="315"/>
        </w:trPr>
        <w:tc>
          <w:tcPr>
            <w:tcW w:w="3840" w:type="dxa"/>
            <w:tcBorders>
              <w:top w:val="single" w:sz="8" w:space="0" w:color="auto"/>
              <w:left w:val="nil"/>
              <w:bottom w:val="single" w:sz="8" w:space="0" w:color="auto"/>
              <w:right w:val="nil"/>
            </w:tcBorders>
            <w:tcMar>
              <w:top w:w="15" w:type="dxa"/>
              <w:left w:w="108" w:type="dxa"/>
              <w:bottom w:w="15" w:type="dxa"/>
              <w:right w:w="108" w:type="dxa"/>
            </w:tcMar>
            <w:vAlign w:val="bottom"/>
            <w:hideMark/>
          </w:tcPr>
          <w:p w14:paraId="5DCF77E5"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lastRenderedPageBreak/>
              <w:t>Charges related to financial instrument</w:t>
            </w:r>
          </w:p>
        </w:tc>
        <w:tc>
          <w:tcPr>
            <w:tcW w:w="4632" w:type="dxa"/>
            <w:tcBorders>
              <w:top w:val="single" w:sz="8" w:space="0" w:color="auto"/>
              <w:left w:val="nil"/>
              <w:bottom w:val="single" w:sz="8" w:space="0" w:color="auto"/>
              <w:right w:val="nil"/>
            </w:tcBorders>
            <w:tcMar>
              <w:top w:w="15" w:type="dxa"/>
              <w:left w:w="108" w:type="dxa"/>
              <w:bottom w:w="15" w:type="dxa"/>
              <w:right w:w="108" w:type="dxa"/>
            </w:tcMar>
            <w:vAlign w:val="bottom"/>
            <w:hideMark/>
          </w:tcPr>
          <w:p w14:paraId="7B3772C4"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 </w:t>
            </w:r>
          </w:p>
        </w:tc>
      </w:tr>
      <w:tr w:rsidR="005F75EA" w14:paraId="6E6AD7F5" w14:textId="77777777" w:rsidTr="00331B33">
        <w:trPr>
          <w:trHeight w:val="300"/>
        </w:trPr>
        <w:tc>
          <w:tcPr>
            <w:tcW w:w="3840" w:type="dxa"/>
            <w:tcMar>
              <w:top w:w="15" w:type="dxa"/>
              <w:left w:w="108" w:type="dxa"/>
              <w:bottom w:w="15" w:type="dxa"/>
              <w:right w:w="108" w:type="dxa"/>
            </w:tcMar>
            <w:vAlign w:val="bottom"/>
            <w:hideMark/>
          </w:tcPr>
          <w:p w14:paraId="7D61E290"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One-off Fees/Costs</w:t>
            </w:r>
          </w:p>
        </w:tc>
        <w:tc>
          <w:tcPr>
            <w:tcW w:w="4632" w:type="dxa"/>
            <w:tcMar>
              <w:top w:w="15" w:type="dxa"/>
              <w:left w:w="108" w:type="dxa"/>
              <w:bottom w:w="15" w:type="dxa"/>
              <w:right w:w="108" w:type="dxa"/>
            </w:tcMar>
            <w:vAlign w:val="bottom"/>
            <w:hideMark/>
          </w:tcPr>
          <w:p w14:paraId="2F3DBC3A"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Product Costs – One-off Costs</w:t>
            </w:r>
          </w:p>
        </w:tc>
      </w:tr>
      <w:tr w:rsidR="005F75EA" w14:paraId="3260D8FE" w14:textId="77777777" w:rsidTr="00331B33">
        <w:trPr>
          <w:trHeight w:val="300"/>
        </w:trPr>
        <w:tc>
          <w:tcPr>
            <w:tcW w:w="3840" w:type="dxa"/>
            <w:tcMar>
              <w:top w:w="15" w:type="dxa"/>
              <w:left w:w="108" w:type="dxa"/>
              <w:bottom w:w="15" w:type="dxa"/>
              <w:right w:w="108" w:type="dxa"/>
            </w:tcMar>
            <w:vAlign w:val="bottom"/>
            <w:hideMark/>
          </w:tcPr>
          <w:p w14:paraId="13EBB882"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Fund Initial Charge</w:t>
            </w:r>
          </w:p>
        </w:tc>
        <w:tc>
          <w:tcPr>
            <w:tcW w:w="4632" w:type="dxa"/>
            <w:tcMar>
              <w:top w:w="15" w:type="dxa"/>
              <w:left w:w="108" w:type="dxa"/>
              <w:bottom w:w="15" w:type="dxa"/>
              <w:right w:w="108" w:type="dxa"/>
            </w:tcMar>
            <w:vAlign w:val="bottom"/>
            <w:hideMark/>
          </w:tcPr>
          <w:p w14:paraId="55121949"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One-off Costs</w:t>
            </w:r>
          </w:p>
        </w:tc>
      </w:tr>
      <w:tr w:rsidR="005F75EA" w14:paraId="510ED729" w14:textId="77777777" w:rsidTr="00331B33">
        <w:trPr>
          <w:trHeight w:val="300"/>
        </w:trPr>
        <w:tc>
          <w:tcPr>
            <w:tcW w:w="3840" w:type="dxa"/>
            <w:tcMar>
              <w:top w:w="15" w:type="dxa"/>
              <w:left w:w="108" w:type="dxa"/>
              <w:bottom w:w="15" w:type="dxa"/>
              <w:right w:w="108" w:type="dxa"/>
            </w:tcMar>
            <w:vAlign w:val="bottom"/>
            <w:hideMark/>
          </w:tcPr>
          <w:p w14:paraId="48714916"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Fund Redemption Charge</w:t>
            </w:r>
          </w:p>
        </w:tc>
        <w:tc>
          <w:tcPr>
            <w:tcW w:w="4632" w:type="dxa"/>
            <w:tcMar>
              <w:top w:w="15" w:type="dxa"/>
              <w:left w:w="108" w:type="dxa"/>
              <w:bottom w:w="15" w:type="dxa"/>
              <w:right w:w="108" w:type="dxa"/>
            </w:tcMar>
            <w:vAlign w:val="bottom"/>
            <w:hideMark/>
          </w:tcPr>
          <w:p w14:paraId="3D0DAF67"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One-off Costs</w:t>
            </w:r>
          </w:p>
        </w:tc>
      </w:tr>
      <w:tr w:rsidR="005F75EA" w14:paraId="49ABCB1A" w14:textId="77777777" w:rsidTr="00331B33">
        <w:trPr>
          <w:trHeight w:val="300"/>
        </w:trPr>
        <w:tc>
          <w:tcPr>
            <w:tcW w:w="3840" w:type="dxa"/>
            <w:tcBorders>
              <w:top w:val="nil"/>
              <w:left w:val="nil"/>
              <w:bottom w:val="single" w:sz="4" w:space="0" w:color="auto"/>
              <w:right w:val="nil"/>
            </w:tcBorders>
            <w:tcMar>
              <w:top w:w="15" w:type="dxa"/>
              <w:left w:w="108" w:type="dxa"/>
              <w:bottom w:w="15" w:type="dxa"/>
              <w:right w:w="108" w:type="dxa"/>
            </w:tcMar>
            <w:vAlign w:val="bottom"/>
            <w:hideMark/>
          </w:tcPr>
          <w:p w14:paraId="41612A71"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Fund Switching Charge</w:t>
            </w:r>
          </w:p>
        </w:tc>
        <w:tc>
          <w:tcPr>
            <w:tcW w:w="4632" w:type="dxa"/>
            <w:tcBorders>
              <w:top w:val="nil"/>
              <w:left w:val="nil"/>
              <w:bottom w:val="single" w:sz="4" w:space="0" w:color="auto"/>
              <w:right w:val="nil"/>
            </w:tcBorders>
            <w:tcMar>
              <w:top w:w="15" w:type="dxa"/>
              <w:left w:w="108" w:type="dxa"/>
              <w:bottom w:w="15" w:type="dxa"/>
              <w:right w:w="108" w:type="dxa"/>
            </w:tcMar>
            <w:vAlign w:val="bottom"/>
            <w:hideMark/>
          </w:tcPr>
          <w:p w14:paraId="47A61621"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One-off Costs</w:t>
            </w:r>
          </w:p>
        </w:tc>
      </w:tr>
      <w:tr w:rsidR="005F75EA" w14:paraId="7E03202F" w14:textId="77777777" w:rsidTr="00331B33">
        <w:trPr>
          <w:trHeight w:val="300"/>
        </w:trPr>
        <w:tc>
          <w:tcPr>
            <w:tcW w:w="3840" w:type="dxa"/>
            <w:tcMar>
              <w:top w:w="15" w:type="dxa"/>
              <w:left w:w="108" w:type="dxa"/>
              <w:bottom w:w="15" w:type="dxa"/>
              <w:right w:w="108" w:type="dxa"/>
            </w:tcMar>
            <w:vAlign w:val="bottom"/>
            <w:hideMark/>
          </w:tcPr>
          <w:p w14:paraId="5E9B797D"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Transaction Fees/Costs</w:t>
            </w:r>
          </w:p>
        </w:tc>
        <w:tc>
          <w:tcPr>
            <w:tcW w:w="4632" w:type="dxa"/>
            <w:tcMar>
              <w:top w:w="15" w:type="dxa"/>
              <w:left w:w="108" w:type="dxa"/>
              <w:bottom w:w="15" w:type="dxa"/>
              <w:right w:w="108" w:type="dxa"/>
            </w:tcMar>
            <w:vAlign w:val="bottom"/>
            <w:hideMark/>
          </w:tcPr>
          <w:p w14:paraId="0D909079"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Product Costs – Transaction Costs</w:t>
            </w:r>
          </w:p>
        </w:tc>
      </w:tr>
      <w:tr w:rsidR="005F75EA" w14:paraId="691AC093" w14:textId="77777777" w:rsidTr="00331B33">
        <w:trPr>
          <w:trHeight w:val="300"/>
        </w:trPr>
        <w:tc>
          <w:tcPr>
            <w:tcW w:w="3840" w:type="dxa"/>
            <w:tcMar>
              <w:top w:w="15" w:type="dxa"/>
              <w:left w:w="108" w:type="dxa"/>
              <w:bottom w:w="15" w:type="dxa"/>
              <w:right w:w="108" w:type="dxa"/>
            </w:tcMar>
            <w:vAlign w:val="bottom"/>
            <w:hideMark/>
          </w:tcPr>
          <w:p w14:paraId="58F6AE0C"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Market Commission</w:t>
            </w:r>
          </w:p>
        </w:tc>
        <w:tc>
          <w:tcPr>
            <w:tcW w:w="4632" w:type="dxa"/>
            <w:tcMar>
              <w:top w:w="15" w:type="dxa"/>
              <w:left w:w="108" w:type="dxa"/>
              <w:bottom w:w="15" w:type="dxa"/>
              <w:right w:w="108" w:type="dxa"/>
            </w:tcMar>
            <w:vAlign w:val="bottom"/>
            <w:hideMark/>
          </w:tcPr>
          <w:p w14:paraId="0A7FEFAF"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478A5546" w14:textId="77777777" w:rsidTr="00331B33">
        <w:trPr>
          <w:trHeight w:val="300"/>
        </w:trPr>
        <w:tc>
          <w:tcPr>
            <w:tcW w:w="3840" w:type="dxa"/>
            <w:tcMar>
              <w:top w:w="15" w:type="dxa"/>
              <w:left w:w="108" w:type="dxa"/>
              <w:bottom w:w="15" w:type="dxa"/>
              <w:right w:w="108" w:type="dxa"/>
            </w:tcMar>
            <w:vAlign w:val="bottom"/>
            <w:hideMark/>
          </w:tcPr>
          <w:p w14:paraId="425AA37D" w14:textId="77777777" w:rsidR="005F75EA" w:rsidRDefault="005F75EA">
            <w:pPr>
              <w:rPr>
                <w:rFonts w:ascii="Gill Sans" w:hAnsi="Gill Sans"/>
                <w:color w:val="000000"/>
                <w:sz w:val="16"/>
                <w:szCs w:val="16"/>
                <w:lang w:eastAsia="en-GB"/>
              </w:rPr>
            </w:pPr>
            <w:bookmarkStart w:id="675" w:name="Sheet1!A33"/>
            <w:r>
              <w:rPr>
                <w:rFonts w:ascii="Gill Sans" w:hAnsi="Gill Sans"/>
                <w:color w:val="000000"/>
                <w:sz w:val="16"/>
                <w:szCs w:val="16"/>
                <w:lang w:eastAsia="en-GB"/>
              </w:rPr>
              <w:t>Exchange Fees</w:t>
            </w:r>
            <w:bookmarkEnd w:id="675"/>
          </w:p>
        </w:tc>
        <w:tc>
          <w:tcPr>
            <w:tcW w:w="4632" w:type="dxa"/>
            <w:tcMar>
              <w:top w:w="15" w:type="dxa"/>
              <w:left w:w="108" w:type="dxa"/>
              <w:bottom w:w="15" w:type="dxa"/>
              <w:right w:w="108" w:type="dxa"/>
            </w:tcMar>
            <w:vAlign w:val="bottom"/>
            <w:hideMark/>
          </w:tcPr>
          <w:p w14:paraId="2A3ED551"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2BCC9A99" w14:textId="77777777" w:rsidTr="00331B33">
        <w:trPr>
          <w:trHeight w:val="300"/>
        </w:trPr>
        <w:tc>
          <w:tcPr>
            <w:tcW w:w="3840" w:type="dxa"/>
            <w:tcMar>
              <w:top w:w="15" w:type="dxa"/>
              <w:left w:w="108" w:type="dxa"/>
              <w:bottom w:w="15" w:type="dxa"/>
              <w:right w:w="108" w:type="dxa"/>
            </w:tcMar>
            <w:vAlign w:val="bottom"/>
            <w:hideMark/>
          </w:tcPr>
          <w:p w14:paraId="20F637E5"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Clearing Charges</w:t>
            </w:r>
          </w:p>
        </w:tc>
        <w:tc>
          <w:tcPr>
            <w:tcW w:w="4632" w:type="dxa"/>
            <w:tcMar>
              <w:top w:w="15" w:type="dxa"/>
              <w:left w:w="108" w:type="dxa"/>
              <w:bottom w:w="15" w:type="dxa"/>
              <w:right w:w="108" w:type="dxa"/>
            </w:tcMar>
            <w:vAlign w:val="bottom"/>
            <w:hideMark/>
          </w:tcPr>
          <w:p w14:paraId="20CB216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0C876A5B" w14:textId="77777777" w:rsidTr="00331B33">
        <w:trPr>
          <w:trHeight w:val="300"/>
        </w:trPr>
        <w:tc>
          <w:tcPr>
            <w:tcW w:w="3840" w:type="dxa"/>
            <w:tcMar>
              <w:top w:w="15" w:type="dxa"/>
              <w:left w:w="108" w:type="dxa"/>
              <w:bottom w:w="15" w:type="dxa"/>
              <w:right w:w="108" w:type="dxa"/>
            </w:tcMar>
            <w:vAlign w:val="bottom"/>
            <w:hideMark/>
          </w:tcPr>
          <w:p w14:paraId="6353ABEF"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Futures clearing </w:t>
            </w:r>
          </w:p>
        </w:tc>
        <w:tc>
          <w:tcPr>
            <w:tcW w:w="4632" w:type="dxa"/>
            <w:tcMar>
              <w:top w:w="15" w:type="dxa"/>
              <w:left w:w="108" w:type="dxa"/>
              <w:bottom w:w="15" w:type="dxa"/>
              <w:right w:w="108" w:type="dxa"/>
            </w:tcMar>
            <w:vAlign w:val="bottom"/>
            <w:hideMark/>
          </w:tcPr>
          <w:p w14:paraId="1BF7CD30"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598AE2D4" w14:textId="77777777" w:rsidTr="00331B33">
        <w:trPr>
          <w:trHeight w:val="300"/>
        </w:trPr>
        <w:tc>
          <w:tcPr>
            <w:tcW w:w="3840" w:type="dxa"/>
            <w:tcMar>
              <w:top w:w="15" w:type="dxa"/>
              <w:left w:w="108" w:type="dxa"/>
              <w:bottom w:w="15" w:type="dxa"/>
              <w:right w:w="108" w:type="dxa"/>
            </w:tcMar>
            <w:vAlign w:val="bottom"/>
            <w:hideMark/>
          </w:tcPr>
          <w:p w14:paraId="4207D63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Exchange Clearing</w:t>
            </w:r>
          </w:p>
        </w:tc>
        <w:tc>
          <w:tcPr>
            <w:tcW w:w="4632" w:type="dxa"/>
            <w:tcMar>
              <w:top w:w="15" w:type="dxa"/>
              <w:left w:w="108" w:type="dxa"/>
              <w:bottom w:w="15" w:type="dxa"/>
              <w:right w:w="108" w:type="dxa"/>
            </w:tcMar>
            <w:vAlign w:val="bottom"/>
            <w:hideMark/>
          </w:tcPr>
          <w:p w14:paraId="41B1B57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735FEDBC" w14:textId="77777777" w:rsidTr="00331B33">
        <w:trPr>
          <w:trHeight w:val="300"/>
        </w:trPr>
        <w:tc>
          <w:tcPr>
            <w:tcW w:w="3840" w:type="dxa"/>
            <w:tcMar>
              <w:top w:w="15" w:type="dxa"/>
              <w:left w:w="108" w:type="dxa"/>
              <w:bottom w:w="15" w:type="dxa"/>
              <w:right w:w="108" w:type="dxa"/>
            </w:tcMar>
            <w:vAlign w:val="bottom"/>
            <w:hideMark/>
          </w:tcPr>
          <w:p w14:paraId="402CC7F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Exchange Execution</w:t>
            </w:r>
          </w:p>
        </w:tc>
        <w:tc>
          <w:tcPr>
            <w:tcW w:w="4632" w:type="dxa"/>
            <w:tcMar>
              <w:top w:w="15" w:type="dxa"/>
              <w:left w:w="108" w:type="dxa"/>
              <w:bottom w:w="15" w:type="dxa"/>
              <w:right w:w="108" w:type="dxa"/>
            </w:tcMar>
            <w:vAlign w:val="bottom"/>
            <w:hideMark/>
          </w:tcPr>
          <w:p w14:paraId="1101211C"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7F0EB6D9" w14:textId="77777777" w:rsidTr="00331B33">
        <w:trPr>
          <w:trHeight w:val="300"/>
        </w:trPr>
        <w:tc>
          <w:tcPr>
            <w:tcW w:w="3840" w:type="dxa"/>
            <w:tcMar>
              <w:top w:w="15" w:type="dxa"/>
              <w:left w:w="108" w:type="dxa"/>
              <w:bottom w:w="15" w:type="dxa"/>
              <w:right w:w="108" w:type="dxa"/>
            </w:tcMar>
            <w:vAlign w:val="bottom"/>
            <w:hideMark/>
          </w:tcPr>
          <w:p w14:paraId="423038D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PTM Levy</w:t>
            </w:r>
          </w:p>
        </w:tc>
        <w:tc>
          <w:tcPr>
            <w:tcW w:w="4632" w:type="dxa"/>
            <w:tcMar>
              <w:top w:w="15" w:type="dxa"/>
              <w:left w:w="108" w:type="dxa"/>
              <w:bottom w:w="15" w:type="dxa"/>
              <w:right w:w="108" w:type="dxa"/>
            </w:tcMar>
            <w:vAlign w:val="bottom"/>
            <w:hideMark/>
          </w:tcPr>
          <w:p w14:paraId="4F014707"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08970144" w14:textId="77777777" w:rsidTr="00331B33">
        <w:trPr>
          <w:trHeight w:val="300"/>
        </w:trPr>
        <w:tc>
          <w:tcPr>
            <w:tcW w:w="3840" w:type="dxa"/>
            <w:tcMar>
              <w:top w:w="15" w:type="dxa"/>
              <w:left w:w="108" w:type="dxa"/>
              <w:bottom w:w="15" w:type="dxa"/>
              <w:right w:w="108" w:type="dxa"/>
            </w:tcMar>
            <w:vAlign w:val="bottom"/>
            <w:hideMark/>
          </w:tcPr>
          <w:p w14:paraId="7289A4D4"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Fund Dilution Levy</w:t>
            </w:r>
          </w:p>
        </w:tc>
        <w:tc>
          <w:tcPr>
            <w:tcW w:w="4632" w:type="dxa"/>
            <w:tcMar>
              <w:top w:w="15" w:type="dxa"/>
              <w:left w:w="108" w:type="dxa"/>
              <w:bottom w:w="15" w:type="dxa"/>
              <w:right w:w="108" w:type="dxa"/>
            </w:tcMar>
            <w:vAlign w:val="bottom"/>
            <w:hideMark/>
          </w:tcPr>
          <w:p w14:paraId="25855EEA"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6723EDA9" w14:textId="77777777" w:rsidTr="00331B33">
        <w:trPr>
          <w:trHeight w:val="300"/>
        </w:trPr>
        <w:tc>
          <w:tcPr>
            <w:tcW w:w="3840" w:type="dxa"/>
            <w:tcMar>
              <w:top w:w="15" w:type="dxa"/>
              <w:left w:w="108" w:type="dxa"/>
              <w:bottom w:w="15" w:type="dxa"/>
              <w:right w:w="108" w:type="dxa"/>
            </w:tcMar>
            <w:vAlign w:val="bottom"/>
            <w:hideMark/>
          </w:tcPr>
          <w:p w14:paraId="24184168"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Implicit Spread Costs</w:t>
            </w:r>
          </w:p>
        </w:tc>
        <w:tc>
          <w:tcPr>
            <w:tcW w:w="4632" w:type="dxa"/>
            <w:tcMar>
              <w:top w:w="15" w:type="dxa"/>
              <w:left w:w="108" w:type="dxa"/>
              <w:bottom w:w="15" w:type="dxa"/>
              <w:right w:w="108" w:type="dxa"/>
            </w:tcMar>
            <w:vAlign w:val="bottom"/>
            <w:hideMark/>
          </w:tcPr>
          <w:p w14:paraId="5191F2F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6C24DD4F" w14:textId="77777777" w:rsidTr="00331B33">
        <w:trPr>
          <w:trHeight w:val="300"/>
        </w:trPr>
        <w:tc>
          <w:tcPr>
            <w:tcW w:w="3840" w:type="dxa"/>
            <w:tcBorders>
              <w:top w:val="nil"/>
              <w:left w:val="nil"/>
              <w:bottom w:val="single" w:sz="4" w:space="0" w:color="000000"/>
              <w:right w:val="nil"/>
            </w:tcBorders>
            <w:tcMar>
              <w:top w:w="15" w:type="dxa"/>
              <w:left w:w="108" w:type="dxa"/>
              <w:bottom w:w="15" w:type="dxa"/>
              <w:right w:w="108" w:type="dxa"/>
            </w:tcMar>
            <w:vAlign w:val="bottom"/>
            <w:hideMark/>
          </w:tcPr>
          <w:p w14:paraId="6861621B"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Stamp Duty</w:t>
            </w:r>
          </w:p>
        </w:tc>
        <w:tc>
          <w:tcPr>
            <w:tcW w:w="4632" w:type="dxa"/>
            <w:tcBorders>
              <w:top w:val="nil"/>
              <w:left w:val="nil"/>
              <w:bottom w:val="single" w:sz="4" w:space="0" w:color="000000"/>
              <w:right w:val="nil"/>
            </w:tcBorders>
            <w:tcMar>
              <w:top w:w="15" w:type="dxa"/>
              <w:left w:w="108" w:type="dxa"/>
              <w:bottom w:w="15" w:type="dxa"/>
              <w:right w:w="108" w:type="dxa"/>
            </w:tcMar>
            <w:vAlign w:val="bottom"/>
            <w:hideMark/>
          </w:tcPr>
          <w:p w14:paraId="7AFD8D5B"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Transaction Costs</w:t>
            </w:r>
          </w:p>
        </w:tc>
      </w:tr>
      <w:tr w:rsidR="005F75EA" w14:paraId="0AA88D83" w14:textId="77777777" w:rsidTr="00331B33">
        <w:trPr>
          <w:trHeight w:val="300"/>
        </w:trPr>
        <w:tc>
          <w:tcPr>
            <w:tcW w:w="3840" w:type="dxa"/>
            <w:tcMar>
              <w:top w:w="15" w:type="dxa"/>
              <w:left w:w="108" w:type="dxa"/>
              <w:bottom w:w="15" w:type="dxa"/>
              <w:right w:w="108" w:type="dxa"/>
            </w:tcMar>
            <w:vAlign w:val="bottom"/>
            <w:hideMark/>
          </w:tcPr>
          <w:p w14:paraId="5D4B0646"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On-going Fees/Costs</w:t>
            </w:r>
          </w:p>
        </w:tc>
        <w:tc>
          <w:tcPr>
            <w:tcW w:w="4632" w:type="dxa"/>
            <w:tcMar>
              <w:top w:w="15" w:type="dxa"/>
              <w:left w:w="108" w:type="dxa"/>
              <w:bottom w:w="15" w:type="dxa"/>
              <w:right w:w="108" w:type="dxa"/>
            </w:tcMar>
            <w:vAlign w:val="bottom"/>
            <w:hideMark/>
          </w:tcPr>
          <w:p w14:paraId="223C9EE5"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Product Costs – Ongoing Costs</w:t>
            </w:r>
          </w:p>
        </w:tc>
      </w:tr>
      <w:tr w:rsidR="005F75EA" w14:paraId="0B5B973B" w14:textId="77777777" w:rsidTr="00331B33">
        <w:trPr>
          <w:trHeight w:val="300"/>
        </w:trPr>
        <w:tc>
          <w:tcPr>
            <w:tcW w:w="3840" w:type="dxa"/>
            <w:tcMar>
              <w:top w:w="15" w:type="dxa"/>
              <w:left w:w="108" w:type="dxa"/>
              <w:bottom w:w="15" w:type="dxa"/>
              <w:right w:w="108" w:type="dxa"/>
            </w:tcMar>
            <w:vAlign w:val="bottom"/>
            <w:hideMark/>
          </w:tcPr>
          <w:p w14:paraId="7F4997A7"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Audit Fees</w:t>
            </w:r>
          </w:p>
        </w:tc>
        <w:tc>
          <w:tcPr>
            <w:tcW w:w="4632" w:type="dxa"/>
            <w:tcMar>
              <w:top w:w="15" w:type="dxa"/>
              <w:left w:w="108" w:type="dxa"/>
              <w:bottom w:w="15" w:type="dxa"/>
              <w:right w:w="108" w:type="dxa"/>
            </w:tcMar>
            <w:vAlign w:val="bottom"/>
            <w:hideMark/>
          </w:tcPr>
          <w:p w14:paraId="454BE34B"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4C786AC4" w14:textId="77777777" w:rsidTr="00331B33">
        <w:trPr>
          <w:trHeight w:val="300"/>
        </w:trPr>
        <w:tc>
          <w:tcPr>
            <w:tcW w:w="3840" w:type="dxa"/>
            <w:tcMar>
              <w:top w:w="15" w:type="dxa"/>
              <w:left w:w="108" w:type="dxa"/>
              <w:bottom w:w="15" w:type="dxa"/>
              <w:right w:w="108" w:type="dxa"/>
            </w:tcMar>
            <w:vAlign w:val="bottom"/>
            <w:hideMark/>
          </w:tcPr>
          <w:p w14:paraId="53C563E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Custodian Fees</w:t>
            </w:r>
          </w:p>
        </w:tc>
        <w:tc>
          <w:tcPr>
            <w:tcW w:w="4632" w:type="dxa"/>
            <w:tcMar>
              <w:top w:w="15" w:type="dxa"/>
              <w:left w:w="108" w:type="dxa"/>
              <w:bottom w:w="15" w:type="dxa"/>
              <w:right w:w="108" w:type="dxa"/>
            </w:tcMar>
            <w:vAlign w:val="bottom"/>
            <w:hideMark/>
          </w:tcPr>
          <w:p w14:paraId="5695D0CF"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2C875B3D" w14:textId="77777777" w:rsidTr="00331B33">
        <w:trPr>
          <w:trHeight w:val="300"/>
        </w:trPr>
        <w:tc>
          <w:tcPr>
            <w:tcW w:w="3840" w:type="dxa"/>
            <w:tcMar>
              <w:top w:w="15" w:type="dxa"/>
              <w:left w:w="108" w:type="dxa"/>
              <w:bottom w:w="15" w:type="dxa"/>
              <w:right w:w="108" w:type="dxa"/>
            </w:tcMar>
            <w:vAlign w:val="bottom"/>
            <w:hideMark/>
          </w:tcPr>
          <w:p w14:paraId="42A4CBAD"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Directors Fees</w:t>
            </w:r>
          </w:p>
        </w:tc>
        <w:tc>
          <w:tcPr>
            <w:tcW w:w="4632" w:type="dxa"/>
            <w:tcMar>
              <w:top w:w="15" w:type="dxa"/>
              <w:left w:w="108" w:type="dxa"/>
              <w:bottom w:w="15" w:type="dxa"/>
              <w:right w:w="108" w:type="dxa"/>
            </w:tcMar>
            <w:vAlign w:val="bottom"/>
            <w:hideMark/>
          </w:tcPr>
          <w:p w14:paraId="472689F5"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3E61376B" w14:textId="77777777" w:rsidTr="00331B33">
        <w:trPr>
          <w:trHeight w:val="300"/>
        </w:trPr>
        <w:tc>
          <w:tcPr>
            <w:tcW w:w="3840" w:type="dxa"/>
            <w:tcMar>
              <w:top w:w="15" w:type="dxa"/>
              <w:left w:w="108" w:type="dxa"/>
              <w:bottom w:w="15" w:type="dxa"/>
              <w:right w:w="108" w:type="dxa"/>
            </w:tcMar>
            <w:vAlign w:val="bottom"/>
            <w:hideMark/>
          </w:tcPr>
          <w:p w14:paraId="5FC407D4"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Formation Fees</w:t>
            </w:r>
          </w:p>
        </w:tc>
        <w:tc>
          <w:tcPr>
            <w:tcW w:w="4632" w:type="dxa"/>
            <w:tcMar>
              <w:top w:w="15" w:type="dxa"/>
              <w:left w:w="108" w:type="dxa"/>
              <w:bottom w:w="15" w:type="dxa"/>
              <w:right w:w="108" w:type="dxa"/>
            </w:tcMar>
            <w:vAlign w:val="bottom"/>
            <w:hideMark/>
          </w:tcPr>
          <w:p w14:paraId="7E6D3398"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51D7F576" w14:textId="77777777" w:rsidTr="00331B33">
        <w:trPr>
          <w:trHeight w:val="300"/>
        </w:trPr>
        <w:tc>
          <w:tcPr>
            <w:tcW w:w="3840" w:type="dxa"/>
            <w:tcMar>
              <w:top w:w="15" w:type="dxa"/>
              <w:left w:w="108" w:type="dxa"/>
              <w:bottom w:w="15" w:type="dxa"/>
              <w:right w:w="108" w:type="dxa"/>
            </w:tcMar>
            <w:vAlign w:val="bottom"/>
            <w:hideMark/>
          </w:tcPr>
          <w:p w14:paraId="3297DE9C"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Guarantor Fees</w:t>
            </w:r>
          </w:p>
        </w:tc>
        <w:tc>
          <w:tcPr>
            <w:tcW w:w="4632" w:type="dxa"/>
            <w:tcMar>
              <w:top w:w="15" w:type="dxa"/>
              <w:left w:w="108" w:type="dxa"/>
              <w:bottom w:w="15" w:type="dxa"/>
              <w:right w:w="108" w:type="dxa"/>
            </w:tcMar>
            <w:vAlign w:val="bottom"/>
            <w:hideMark/>
          </w:tcPr>
          <w:p w14:paraId="0743DF3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07450161" w14:textId="77777777" w:rsidTr="00331B33">
        <w:trPr>
          <w:trHeight w:val="300"/>
        </w:trPr>
        <w:tc>
          <w:tcPr>
            <w:tcW w:w="3840" w:type="dxa"/>
            <w:tcMar>
              <w:top w:w="15" w:type="dxa"/>
              <w:left w:w="108" w:type="dxa"/>
              <w:bottom w:w="15" w:type="dxa"/>
              <w:right w:w="108" w:type="dxa"/>
            </w:tcMar>
            <w:vAlign w:val="bottom"/>
            <w:hideMark/>
          </w:tcPr>
          <w:p w14:paraId="64F0829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Legal Fees</w:t>
            </w:r>
          </w:p>
        </w:tc>
        <w:tc>
          <w:tcPr>
            <w:tcW w:w="4632" w:type="dxa"/>
            <w:tcMar>
              <w:top w:w="15" w:type="dxa"/>
              <w:left w:w="108" w:type="dxa"/>
              <w:bottom w:w="15" w:type="dxa"/>
              <w:right w:w="108" w:type="dxa"/>
            </w:tcMar>
            <w:vAlign w:val="bottom"/>
            <w:hideMark/>
          </w:tcPr>
          <w:p w14:paraId="79CEA2B5"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253F8976" w14:textId="77777777" w:rsidTr="00331B33">
        <w:trPr>
          <w:trHeight w:val="300"/>
        </w:trPr>
        <w:tc>
          <w:tcPr>
            <w:tcW w:w="3840" w:type="dxa"/>
            <w:tcMar>
              <w:top w:w="15" w:type="dxa"/>
              <w:left w:w="108" w:type="dxa"/>
              <w:bottom w:w="15" w:type="dxa"/>
              <w:right w:w="108" w:type="dxa"/>
            </w:tcMar>
            <w:vAlign w:val="bottom"/>
            <w:hideMark/>
          </w:tcPr>
          <w:p w14:paraId="7D5290D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Management Fees</w:t>
            </w:r>
          </w:p>
        </w:tc>
        <w:tc>
          <w:tcPr>
            <w:tcW w:w="4632" w:type="dxa"/>
            <w:tcMar>
              <w:top w:w="15" w:type="dxa"/>
              <w:left w:w="108" w:type="dxa"/>
              <w:bottom w:w="15" w:type="dxa"/>
              <w:right w:w="108" w:type="dxa"/>
            </w:tcMar>
            <w:vAlign w:val="bottom"/>
            <w:hideMark/>
          </w:tcPr>
          <w:p w14:paraId="638CA269"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1DF5D077" w14:textId="77777777" w:rsidTr="00331B33">
        <w:trPr>
          <w:trHeight w:val="300"/>
        </w:trPr>
        <w:tc>
          <w:tcPr>
            <w:tcW w:w="3840" w:type="dxa"/>
            <w:tcMar>
              <w:top w:w="15" w:type="dxa"/>
              <w:left w:w="108" w:type="dxa"/>
              <w:bottom w:w="15" w:type="dxa"/>
              <w:right w:w="108" w:type="dxa"/>
            </w:tcMar>
            <w:vAlign w:val="bottom"/>
            <w:hideMark/>
          </w:tcPr>
          <w:p w14:paraId="11893C40"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Other Fees</w:t>
            </w:r>
          </w:p>
        </w:tc>
        <w:tc>
          <w:tcPr>
            <w:tcW w:w="4632" w:type="dxa"/>
            <w:tcMar>
              <w:top w:w="15" w:type="dxa"/>
              <w:left w:w="108" w:type="dxa"/>
              <w:bottom w:w="15" w:type="dxa"/>
              <w:right w:w="108" w:type="dxa"/>
            </w:tcMar>
            <w:vAlign w:val="bottom"/>
            <w:hideMark/>
          </w:tcPr>
          <w:p w14:paraId="58D9288F"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4F7CEC5F" w14:textId="77777777" w:rsidTr="00331B33">
        <w:trPr>
          <w:trHeight w:val="300"/>
        </w:trPr>
        <w:tc>
          <w:tcPr>
            <w:tcW w:w="3840" w:type="dxa"/>
            <w:tcMar>
              <w:top w:w="15" w:type="dxa"/>
              <w:left w:w="108" w:type="dxa"/>
              <w:bottom w:w="15" w:type="dxa"/>
              <w:right w:w="108" w:type="dxa"/>
            </w:tcMar>
            <w:vAlign w:val="bottom"/>
            <w:hideMark/>
          </w:tcPr>
          <w:p w14:paraId="7A4B28E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Registration Fees</w:t>
            </w:r>
          </w:p>
        </w:tc>
        <w:tc>
          <w:tcPr>
            <w:tcW w:w="4632" w:type="dxa"/>
            <w:tcMar>
              <w:top w:w="15" w:type="dxa"/>
              <w:left w:w="108" w:type="dxa"/>
              <w:bottom w:w="15" w:type="dxa"/>
              <w:right w:w="108" w:type="dxa"/>
            </w:tcMar>
            <w:vAlign w:val="bottom"/>
            <w:hideMark/>
          </w:tcPr>
          <w:p w14:paraId="306C8D7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1155345E" w14:textId="77777777" w:rsidTr="00331B33">
        <w:trPr>
          <w:trHeight w:val="300"/>
        </w:trPr>
        <w:tc>
          <w:tcPr>
            <w:tcW w:w="3840" w:type="dxa"/>
            <w:tcMar>
              <w:top w:w="15" w:type="dxa"/>
              <w:left w:w="108" w:type="dxa"/>
              <w:bottom w:w="15" w:type="dxa"/>
              <w:right w:w="108" w:type="dxa"/>
            </w:tcMar>
            <w:vAlign w:val="bottom"/>
            <w:hideMark/>
          </w:tcPr>
          <w:p w14:paraId="0684CAF0"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Risk Transfer Fees</w:t>
            </w:r>
          </w:p>
        </w:tc>
        <w:tc>
          <w:tcPr>
            <w:tcW w:w="4632" w:type="dxa"/>
            <w:tcMar>
              <w:top w:w="15" w:type="dxa"/>
              <w:left w:w="108" w:type="dxa"/>
              <w:bottom w:w="15" w:type="dxa"/>
              <w:right w:w="108" w:type="dxa"/>
            </w:tcMar>
            <w:vAlign w:val="bottom"/>
            <w:hideMark/>
          </w:tcPr>
          <w:p w14:paraId="2F6A052C"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446CEA96" w14:textId="77777777" w:rsidTr="00331B33">
        <w:trPr>
          <w:trHeight w:val="300"/>
        </w:trPr>
        <w:tc>
          <w:tcPr>
            <w:tcW w:w="3840" w:type="dxa"/>
            <w:tcMar>
              <w:top w:w="15" w:type="dxa"/>
              <w:left w:w="108" w:type="dxa"/>
              <w:bottom w:w="15" w:type="dxa"/>
              <w:right w:w="108" w:type="dxa"/>
            </w:tcMar>
            <w:vAlign w:val="bottom"/>
            <w:hideMark/>
          </w:tcPr>
          <w:p w14:paraId="0CC6A34A"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Service Manager Fees</w:t>
            </w:r>
          </w:p>
        </w:tc>
        <w:tc>
          <w:tcPr>
            <w:tcW w:w="4632" w:type="dxa"/>
            <w:tcMar>
              <w:top w:w="15" w:type="dxa"/>
              <w:left w:w="108" w:type="dxa"/>
              <w:bottom w:w="15" w:type="dxa"/>
              <w:right w:w="108" w:type="dxa"/>
            </w:tcMar>
            <w:vAlign w:val="bottom"/>
            <w:hideMark/>
          </w:tcPr>
          <w:p w14:paraId="3B72F6A5"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346C210B" w14:textId="77777777" w:rsidTr="00331B33">
        <w:trPr>
          <w:trHeight w:val="300"/>
        </w:trPr>
        <w:tc>
          <w:tcPr>
            <w:tcW w:w="3840" w:type="dxa"/>
            <w:tcMar>
              <w:top w:w="15" w:type="dxa"/>
              <w:left w:w="108" w:type="dxa"/>
              <w:bottom w:w="15" w:type="dxa"/>
              <w:right w:w="108" w:type="dxa"/>
            </w:tcMar>
            <w:vAlign w:val="bottom"/>
            <w:hideMark/>
          </w:tcPr>
          <w:p w14:paraId="217063BF"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Sub Registrar Fees</w:t>
            </w:r>
          </w:p>
        </w:tc>
        <w:tc>
          <w:tcPr>
            <w:tcW w:w="4632" w:type="dxa"/>
            <w:tcMar>
              <w:top w:w="15" w:type="dxa"/>
              <w:left w:w="108" w:type="dxa"/>
              <w:bottom w:w="15" w:type="dxa"/>
              <w:right w:w="108" w:type="dxa"/>
            </w:tcMar>
            <w:vAlign w:val="bottom"/>
            <w:hideMark/>
          </w:tcPr>
          <w:p w14:paraId="6FAF556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340915F3" w14:textId="77777777" w:rsidTr="00331B33">
        <w:trPr>
          <w:trHeight w:val="300"/>
        </w:trPr>
        <w:tc>
          <w:tcPr>
            <w:tcW w:w="3840" w:type="dxa"/>
            <w:tcMar>
              <w:top w:w="15" w:type="dxa"/>
              <w:left w:w="108" w:type="dxa"/>
              <w:bottom w:w="15" w:type="dxa"/>
              <w:right w:w="108" w:type="dxa"/>
            </w:tcMar>
            <w:vAlign w:val="bottom"/>
            <w:hideMark/>
          </w:tcPr>
          <w:p w14:paraId="333C678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Trading Interest Fees</w:t>
            </w:r>
          </w:p>
        </w:tc>
        <w:tc>
          <w:tcPr>
            <w:tcW w:w="4632" w:type="dxa"/>
            <w:tcMar>
              <w:top w:w="15" w:type="dxa"/>
              <w:left w:w="108" w:type="dxa"/>
              <w:bottom w:w="15" w:type="dxa"/>
              <w:right w:w="108" w:type="dxa"/>
            </w:tcMar>
            <w:vAlign w:val="bottom"/>
            <w:hideMark/>
          </w:tcPr>
          <w:p w14:paraId="2F5D9425"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160A75B2" w14:textId="77777777" w:rsidTr="00331B33">
        <w:trPr>
          <w:trHeight w:val="300"/>
        </w:trPr>
        <w:tc>
          <w:tcPr>
            <w:tcW w:w="3840" w:type="dxa"/>
            <w:tcMar>
              <w:top w:w="15" w:type="dxa"/>
              <w:left w:w="108" w:type="dxa"/>
              <w:bottom w:w="15" w:type="dxa"/>
              <w:right w:w="108" w:type="dxa"/>
            </w:tcMar>
            <w:vAlign w:val="bottom"/>
            <w:hideMark/>
          </w:tcPr>
          <w:p w14:paraId="5B9BE231"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Trading Stock Borrow Fees</w:t>
            </w:r>
          </w:p>
        </w:tc>
        <w:tc>
          <w:tcPr>
            <w:tcW w:w="4632" w:type="dxa"/>
            <w:tcMar>
              <w:top w:w="15" w:type="dxa"/>
              <w:left w:w="108" w:type="dxa"/>
              <w:bottom w:w="15" w:type="dxa"/>
              <w:right w:w="108" w:type="dxa"/>
            </w:tcMar>
            <w:vAlign w:val="bottom"/>
            <w:hideMark/>
          </w:tcPr>
          <w:p w14:paraId="0641669E"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79C0E86C" w14:textId="77777777" w:rsidTr="00331B33">
        <w:trPr>
          <w:trHeight w:val="300"/>
        </w:trPr>
        <w:tc>
          <w:tcPr>
            <w:tcW w:w="3840" w:type="dxa"/>
            <w:tcMar>
              <w:top w:w="15" w:type="dxa"/>
              <w:left w:w="108" w:type="dxa"/>
              <w:bottom w:w="15" w:type="dxa"/>
              <w:right w:w="108" w:type="dxa"/>
            </w:tcMar>
            <w:vAlign w:val="bottom"/>
            <w:hideMark/>
          </w:tcPr>
          <w:p w14:paraId="2A51ED48"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Trading Swap Financing Fees</w:t>
            </w:r>
          </w:p>
        </w:tc>
        <w:tc>
          <w:tcPr>
            <w:tcW w:w="4632" w:type="dxa"/>
            <w:tcMar>
              <w:top w:w="15" w:type="dxa"/>
              <w:left w:w="108" w:type="dxa"/>
              <w:bottom w:w="15" w:type="dxa"/>
              <w:right w:w="108" w:type="dxa"/>
            </w:tcMar>
            <w:vAlign w:val="bottom"/>
            <w:hideMark/>
          </w:tcPr>
          <w:p w14:paraId="24089ECD"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27AE2A41" w14:textId="77777777" w:rsidTr="00331B33">
        <w:trPr>
          <w:trHeight w:val="300"/>
        </w:trPr>
        <w:tc>
          <w:tcPr>
            <w:tcW w:w="3840" w:type="dxa"/>
            <w:tcMar>
              <w:top w:w="15" w:type="dxa"/>
              <w:left w:w="108" w:type="dxa"/>
              <w:bottom w:w="15" w:type="dxa"/>
              <w:right w:w="108" w:type="dxa"/>
            </w:tcMar>
            <w:vAlign w:val="bottom"/>
            <w:hideMark/>
          </w:tcPr>
          <w:p w14:paraId="78A18226"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Trading Other Fees</w:t>
            </w:r>
          </w:p>
        </w:tc>
        <w:tc>
          <w:tcPr>
            <w:tcW w:w="4632" w:type="dxa"/>
            <w:tcMar>
              <w:top w:w="15" w:type="dxa"/>
              <w:left w:w="108" w:type="dxa"/>
              <w:bottom w:w="15" w:type="dxa"/>
              <w:right w:w="108" w:type="dxa"/>
            </w:tcMar>
            <w:vAlign w:val="bottom"/>
            <w:hideMark/>
          </w:tcPr>
          <w:p w14:paraId="670AE2DD"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31197784" w14:textId="77777777" w:rsidTr="00331B33">
        <w:trPr>
          <w:trHeight w:val="300"/>
        </w:trPr>
        <w:tc>
          <w:tcPr>
            <w:tcW w:w="3840" w:type="dxa"/>
            <w:tcBorders>
              <w:top w:val="nil"/>
              <w:left w:val="nil"/>
              <w:bottom w:val="single" w:sz="4" w:space="0" w:color="auto"/>
              <w:right w:val="nil"/>
            </w:tcBorders>
            <w:tcMar>
              <w:top w:w="15" w:type="dxa"/>
              <w:left w:w="108" w:type="dxa"/>
              <w:bottom w:w="15" w:type="dxa"/>
              <w:right w:w="108" w:type="dxa"/>
            </w:tcMar>
            <w:vAlign w:val="bottom"/>
            <w:hideMark/>
          </w:tcPr>
          <w:p w14:paraId="5F97BDA7"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Research costs</w:t>
            </w:r>
          </w:p>
        </w:tc>
        <w:tc>
          <w:tcPr>
            <w:tcW w:w="4632" w:type="dxa"/>
            <w:tcBorders>
              <w:top w:val="nil"/>
              <w:left w:val="nil"/>
              <w:bottom w:val="single" w:sz="4" w:space="0" w:color="auto"/>
              <w:right w:val="nil"/>
            </w:tcBorders>
            <w:tcMar>
              <w:top w:w="15" w:type="dxa"/>
              <w:left w:w="108" w:type="dxa"/>
              <w:bottom w:w="15" w:type="dxa"/>
              <w:right w:w="108" w:type="dxa"/>
            </w:tcMar>
            <w:vAlign w:val="bottom"/>
            <w:hideMark/>
          </w:tcPr>
          <w:p w14:paraId="5B5398CB"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Product Costs – Ongoing Costs</w:t>
            </w:r>
          </w:p>
        </w:tc>
      </w:tr>
      <w:tr w:rsidR="005F75EA" w14:paraId="35467F1B" w14:textId="77777777" w:rsidTr="00331B33">
        <w:trPr>
          <w:trHeight w:val="300"/>
        </w:trPr>
        <w:tc>
          <w:tcPr>
            <w:tcW w:w="3840" w:type="dxa"/>
            <w:tcMar>
              <w:top w:w="15" w:type="dxa"/>
              <w:left w:w="108" w:type="dxa"/>
              <w:bottom w:w="15" w:type="dxa"/>
              <w:right w:w="108" w:type="dxa"/>
            </w:tcMar>
            <w:vAlign w:val="bottom"/>
            <w:hideMark/>
          </w:tcPr>
          <w:p w14:paraId="390ADFA4" w14:textId="77777777" w:rsidR="005F75EA" w:rsidRDefault="005F75EA">
            <w:pPr>
              <w:rPr>
                <w:rFonts w:ascii="Gill Sans" w:hAnsi="Gill Sans"/>
                <w:b/>
                <w:bCs/>
                <w:color w:val="262626"/>
                <w:sz w:val="16"/>
                <w:szCs w:val="16"/>
                <w:lang w:eastAsia="en-GB"/>
              </w:rPr>
            </w:pPr>
            <w:r>
              <w:rPr>
                <w:rFonts w:ascii="Gill Sans" w:hAnsi="Gill Sans"/>
                <w:b/>
                <w:bCs/>
                <w:color w:val="262626"/>
                <w:sz w:val="16"/>
                <w:szCs w:val="16"/>
                <w:lang w:eastAsia="en-GB"/>
              </w:rPr>
              <w:t>Incidental Costs</w:t>
            </w:r>
          </w:p>
        </w:tc>
        <w:tc>
          <w:tcPr>
            <w:tcW w:w="4632" w:type="dxa"/>
            <w:tcMar>
              <w:top w:w="15" w:type="dxa"/>
              <w:left w:w="108" w:type="dxa"/>
              <w:bottom w:w="15" w:type="dxa"/>
              <w:right w:w="108" w:type="dxa"/>
            </w:tcMar>
            <w:vAlign w:val="bottom"/>
            <w:hideMark/>
          </w:tcPr>
          <w:p w14:paraId="71326480" w14:textId="77777777" w:rsidR="005F75EA" w:rsidRDefault="005F75EA">
            <w:pPr>
              <w:rPr>
                <w:rFonts w:ascii="Gill Sans" w:hAnsi="Gill Sans"/>
                <w:b/>
                <w:bCs/>
                <w:color w:val="000000"/>
                <w:sz w:val="16"/>
                <w:szCs w:val="16"/>
                <w:lang w:eastAsia="en-GB"/>
              </w:rPr>
            </w:pPr>
            <w:r>
              <w:rPr>
                <w:rFonts w:ascii="Gill Sans" w:hAnsi="Gill Sans"/>
                <w:b/>
                <w:bCs/>
                <w:color w:val="000000"/>
                <w:sz w:val="16"/>
                <w:szCs w:val="16"/>
                <w:lang w:eastAsia="en-GB"/>
              </w:rPr>
              <w:t>Product Costs – Incidental Costs</w:t>
            </w:r>
          </w:p>
        </w:tc>
      </w:tr>
      <w:tr w:rsidR="005F75EA" w14:paraId="70FDC945" w14:textId="77777777" w:rsidTr="00331B33">
        <w:trPr>
          <w:trHeight w:val="300"/>
        </w:trPr>
        <w:tc>
          <w:tcPr>
            <w:tcW w:w="3840" w:type="dxa"/>
            <w:tcMar>
              <w:top w:w="15" w:type="dxa"/>
              <w:left w:w="108" w:type="dxa"/>
              <w:bottom w:w="15" w:type="dxa"/>
              <w:right w:w="108" w:type="dxa"/>
            </w:tcMar>
            <w:vAlign w:val="bottom"/>
            <w:hideMark/>
          </w:tcPr>
          <w:p w14:paraId="6C870B58" w14:textId="77777777" w:rsidR="005F75EA" w:rsidRDefault="005F75EA">
            <w:pPr>
              <w:rPr>
                <w:rFonts w:ascii="Gill Sans" w:hAnsi="Gill Sans"/>
                <w:color w:val="262626"/>
                <w:sz w:val="16"/>
                <w:szCs w:val="16"/>
                <w:lang w:eastAsia="en-GB"/>
              </w:rPr>
            </w:pPr>
            <w:r>
              <w:rPr>
                <w:rFonts w:ascii="Gill Sans" w:hAnsi="Gill Sans"/>
                <w:color w:val="262626"/>
                <w:sz w:val="16"/>
                <w:szCs w:val="16"/>
                <w:lang w:eastAsia="en-GB"/>
              </w:rPr>
              <w:t>Performance Fees</w:t>
            </w:r>
          </w:p>
        </w:tc>
        <w:tc>
          <w:tcPr>
            <w:tcW w:w="4632" w:type="dxa"/>
            <w:tcMar>
              <w:top w:w="15" w:type="dxa"/>
              <w:left w:w="108" w:type="dxa"/>
              <w:bottom w:w="15" w:type="dxa"/>
              <w:right w:w="108" w:type="dxa"/>
            </w:tcMar>
            <w:vAlign w:val="bottom"/>
            <w:hideMark/>
          </w:tcPr>
          <w:p w14:paraId="13CB1553"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Incidental Costs</w:t>
            </w:r>
          </w:p>
        </w:tc>
      </w:tr>
      <w:tr w:rsidR="005F75EA" w14:paraId="35EE4751" w14:textId="77777777" w:rsidTr="00331B33">
        <w:trPr>
          <w:trHeight w:val="315"/>
        </w:trPr>
        <w:tc>
          <w:tcPr>
            <w:tcW w:w="3840" w:type="dxa"/>
            <w:tcBorders>
              <w:top w:val="nil"/>
              <w:left w:val="nil"/>
              <w:bottom w:val="single" w:sz="8" w:space="0" w:color="ED7D31"/>
              <w:right w:val="nil"/>
            </w:tcBorders>
            <w:tcMar>
              <w:top w:w="15" w:type="dxa"/>
              <w:left w:w="108" w:type="dxa"/>
              <w:bottom w:w="15" w:type="dxa"/>
              <w:right w:w="108" w:type="dxa"/>
            </w:tcMar>
            <w:vAlign w:val="bottom"/>
            <w:hideMark/>
          </w:tcPr>
          <w:p w14:paraId="531F5E24"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Carried interest</w:t>
            </w:r>
          </w:p>
        </w:tc>
        <w:tc>
          <w:tcPr>
            <w:tcW w:w="4632" w:type="dxa"/>
            <w:tcBorders>
              <w:top w:val="nil"/>
              <w:left w:val="nil"/>
              <w:bottom w:val="single" w:sz="8" w:space="0" w:color="ED7D31"/>
              <w:right w:val="nil"/>
            </w:tcBorders>
            <w:tcMar>
              <w:top w:w="15" w:type="dxa"/>
              <w:left w:w="108" w:type="dxa"/>
              <w:bottom w:w="15" w:type="dxa"/>
              <w:right w:w="108" w:type="dxa"/>
            </w:tcMar>
            <w:vAlign w:val="bottom"/>
            <w:hideMark/>
          </w:tcPr>
          <w:p w14:paraId="756B7181" w14:textId="77777777" w:rsidR="005F75EA" w:rsidRDefault="005F75EA">
            <w:pPr>
              <w:rPr>
                <w:rFonts w:ascii="Gill Sans" w:hAnsi="Gill Sans"/>
                <w:color w:val="000000"/>
                <w:sz w:val="16"/>
                <w:szCs w:val="16"/>
                <w:lang w:eastAsia="en-GB"/>
              </w:rPr>
            </w:pPr>
            <w:r>
              <w:rPr>
                <w:rFonts w:ascii="Gill Sans" w:hAnsi="Gill Sans"/>
                <w:color w:val="000000"/>
                <w:sz w:val="16"/>
                <w:szCs w:val="16"/>
                <w:lang w:eastAsia="en-GB"/>
              </w:rPr>
              <w:t xml:space="preserve"> Product Costs – Incidental Costs</w:t>
            </w:r>
          </w:p>
        </w:tc>
      </w:tr>
    </w:tbl>
    <w:p w14:paraId="021AAC97" w14:textId="77777777" w:rsidR="005F75EA" w:rsidRDefault="005F75EA" w:rsidP="00CD78E9">
      <w:pPr>
        <w:rPr>
          <w:rFonts w:cstheme="minorHAnsi"/>
          <w:b/>
          <w:sz w:val="24"/>
        </w:rPr>
      </w:pPr>
    </w:p>
    <w:p w14:paraId="5B92F603" w14:textId="298CF63D" w:rsidR="00352998" w:rsidRPr="00292452" w:rsidRDefault="00CD78E9" w:rsidP="008F524F">
      <w:pPr>
        <w:pStyle w:val="Heading1"/>
        <w:numPr>
          <w:ilvl w:val="0"/>
          <w:numId w:val="0"/>
        </w:numPr>
        <w:rPr>
          <w:rFonts w:cs="Arial"/>
          <w:b/>
          <w:iCs/>
        </w:rPr>
      </w:pPr>
      <w:r>
        <w:rPr>
          <w:rFonts w:cstheme="minorHAnsi"/>
          <w:sz w:val="24"/>
        </w:rPr>
        <w:br w:type="page"/>
      </w:r>
    </w:p>
    <w:p w14:paraId="79FDD30C" w14:textId="15270822" w:rsidR="00D06510" w:rsidRPr="00A83979" w:rsidRDefault="00A83979" w:rsidP="00A83979">
      <w:pPr>
        <w:pStyle w:val="Heading1"/>
        <w:numPr>
          <w:ilvl w:val="0"/>
          <w:numId w:val="81"/>
        </w:numPr>
        <w:rPr>
          <w:rFonts w:asciiTheme="minorHAnsi" w:hAnsiTheme="minorHAnsi"/>
          <w:b/>
          <w:bCs/>
          <w:color w:val="auto"/>
          <w:sz w:val="28"/>
          <w:szCs w:val="28"/>
        </w:rPr>
      </w:pPr>
      <w:bookmarkStart w:id="676" w:name="_Toc369907891"/>
      <w:bookmarkStart w:id="677" w:name="_Toc370052408"/>
      <w:bookmarkStart w:id="678" w:name="_Toc372234556"/>
      <w:bookmarkStart w:id="679" w:name="_Toc395871084"/>
      <w:bookmarkStart w:id="680" w:name="_Toc409468251"/>
      <w:r w:rsidRPr="00A83979">
        <w:rPr>
          <w:rFonts w:asciiTheme="minorHAnsi" w:hAnsiTheme="minorHAnsi"/>
          <w:b/>
          <w:bCs/>
          <w:noProof/>
          <w:color w:val="auto"/>
          <w:sz w:val="28"/>
          <w:szCs w:val="28"/>
        </w:rPr>
        <w:lastRenderedPageBreak/>
        <w:t>Calculation of end investor costs for Ex-</w:t>
      </w:r>
      <w:r w:rsidR="004320D7">
        <w:rPr>
          <w:rFonts w:asciiTheme="minorHAnsi" w:hAnsiTheme="minorHAnsi"/>
          <w:b/>
          <w:bCs/>
          <w:noProof/>
          <w:color w:val="auto"/>
          <w:sz w:val="28"/>
          <w:szCs w:val="28"/>
        </w:rPr>
        <w:t>A</w:t>
      </w:r>
      <w:r w:rsidRPr="00A83979">
        <w:rPr>
          <w:rFonts w:asciiTheme="minorHAnsi" w:hAnsiTheme="minorHAnsi"/>
          <w:b/>
          <w:bCs/>
          <w:noProof/>
          <w:color w:val="auto"/>
          <w:sz w:val="28"/>
          <w:szCs w:val="28"/>
        </w:rPr>
        <w:t>nte and Ex-Post disclosure</w:t>
      </w:r>
      <w:bookmarkEnd w:id="676"/>
      <w:bookmarkEnd w:id="677"/>
      <w:bookmarkEnd w:id="678"/>
      <w:bookmarkEnd w:id="679"/>
      <w:bookmarkEnd w:id="680"/>
    </w:p>
    <w:p w14:paraId="20DC6EA4" w14:textId="77777777" w:rsidR="00A83979" w:rsidRDefault="00A83979" w:rsidP="00A83979">
      <w:pPr>
        <w:ind w:left="426"/>
        <w:jc w:val="both"/>
        <w:rPr>
          <w:rFonts w:asciiTheme="minorHAnsi" w:hAnsiTheme="minorHAnsi"/>
          <w:szCs w:val="22"/>
        </w:rPr>
      </w:pPr>
    </w:p>
    <w:p w14:paraId="58029AC9" w14:textId="119F8A98" w:rsidR="001B0822" w:rsidRPr="007030A3" w:rsidRDefault="001B0822" w:rsidP="00894AA2">
      <w:pPr>
        <w:ind w:left="426"/>
        <w:jc w:val="both"/>
        <w:rPr>
          <w:rFonts w:asciiTheme="minorHAnsi" w:hAnsiTheme="minorHAnsi"/>
        </w:rPr>
      </w:pPr>
      <w:r w:rsidRPr="007030A3">
        <w:rPr>
          <w:rFonts w:asciiTheme="minorHAnsi" w:hAnsiTheme="minorHAnsi"/>
        </w:rPr>
        <w:t xml:space="preserve">This section aims to provide guidance on the best practice for the calculation of the end </w:t>
      </w:r>
      <w:r w:rsidR="00187142" w:rsidRPr="007030A3">
        <w:rPr>
          <w:rFonts w:asciiTheme="minorHAnsi" w:hAnsiTheme="minorHAnsi"/>
        </w:rPr>
        <w:t>investors’</w:t>
      </w:r>
      <w:r w:rsidRPr="007030A3">
        <w:rPr>
          <w:rFonts w:asciiTheme="minorHAnsi" w:hAnsiTheme="minorHAnsi"/>
        </w:rPr>
        <w:t xml:space="preserve"> costs that need to be displayed in both the pre-sale and annual report that a distribut</w:t>
      </w:r>
      <w:r w:rsidR="007B3E57">
        <w:rPr>
          <w:rFonts w:asciiTheme="minorHAnsi" w:hAnsiTheme="minorHAnsi"/>
        </w:rPr>
        <w:t>or</w:t>
      </w:r>
      <w:r w:rsidRPr="007030A3">
        <w:rPr>
          <w:rFonts w:asciiTheme="minorHAnsi" w:hAnsiTheme="minorHAnsi"/>
        </w:rPr>
        <w:t xml:space="preserve"> is required to supply under MiFID II.</w:t>
      </w:r>
    </w:p>
    <w:p w14:paraId="76F8F74B" w14:textId="77777777" w:rsidR="001B0822" w:rsidRDefault="001B0822" w:rsidP="00894AA2">
      <w:pPr>
        <w:ind w:left="426"/>
        <w:jc w:val="both"/>
        <w:rPr>
          <w:rFonts w:asciiTheme="minorHAnsi" w:hAnsiTheme="minorHAnsi"/>
        </w:rPr>
      </w:pPr>
    </w:p>
    <w:p w14:paraId="2755B38F" w14:textId="4470EA0F" w:rsidR="001B0822" w:rsidRPr="007030A3" w:rsidRDefault="001B0822" w:rsidP="00894AA2">
      <w:pPr>
        <w:ind w:left="426"/>
        <w:jc w:val="both"/>
        <w:rPr>
          <w:rFonts w:asciiTheme="minorHAnsi" w:hAnsiTheme="minorHAnsi"/>
        </w:rPr>
      </w:pPr>
      <w:r w:rsidRPr="007030A3">
        <w:rPr>
          <w:rFonts w:asciiTheme="minorHAnsi" w:hAnsiTheme="minorHAnsi"/>
        </w:rPr>
        <w:t>Firstly the annualised costs for the products need to be collected, in the standardised fee ‘buckets’ defined by MiFID:</w:t>
      </w:r>
      <w:r w:rsidR="005D3A5E">
        <w:rPr>
          <w:rFonts w:asciiTheme="minorHAnsi" w:hAnsiTheme="minorHAnsi"/>
        </w:rPr>
        <w:t xml:space="preserve"> </w:t>
      </w:r>
      <w:r w:rsidRPr="007030A3">
        <w:rPr>
          <w:rFonts w:asciiTheme="minorHAnsi" w:hAnsiTheme="minorHAnsi"/>
        </w:rPr>
        <w:t>One</w:t>
      </w:r>
      <w:r w:rsidR="005D3A5E">
        <w:rPr>
          <w:rFonts w:asciiTheme="minorHAnsi" w:hAnsiTheme="minorHAnsi"/>
        </w:rPr>
        <w:t>-</w:t>
      </w:r>
      <w:r w:rsidRPr="007030A3">
        <w:rPr>
          <w:rFonts w:asciiTheme="minorHAnsi" w:hAnsiTheme="minorHAnsi"/>
        </w:rPr>
        <w:t xml:space="preserve">off costs, Ongoing costs, Transaction fees and </w:t>
      </w:r>
      <w:r w:rsidR="005D3A5E">
        <w:rPr>
          <w:rFonts w:asciiTheme="minorHAnsi" w:hAnsiTheme="minorHAnsi"/>
        </w:rPr>
        <w:t>P</w:t>
      </w:r>
      <w:r w:rsidRPr="007030A3">
        <w:rPr>
          <w:rFonts w:asciiTheme="minorHAnsi" w:hAnsiTheme="minorHAnsi"/>
        </w:rPr>
        <w:t xml:space="preserve">erformance fees (or carried interest). </w:t>
      </w:r>
    </w:p>
    <w:p w14:paraId="1DD63790" w14:textId="77777777" w:rsidR="001B0822" w:rsidRDefault="001B0822" w:rsidP="00894AA2">
      <w:pPr>
        <w:ind w:left="426"/>
        <w:jc w:val="both"/>
        <w:rPr>
          <w:rFonts w:asciiTheme="minorHAnsi" w:hAnsiTheme="minorHAnsi"/>
        </w:rPr>
      </w:pPr>
    </w:p>
    <w:p w14:paraId="3E1E5525" w14:textId="3E260830" w:rsidR="001B0822" w:rsidRPr="007030A3" w:rsidRDefault="00187142" w:rsidP="00894AA2">
      <w:pPr>
        <w:ind w:left="426"/>
        <w:jc w:val="both"/>
        <w:rPr>
          <w:rFonts w:asciiTheme="minorHAnsi" w:hAnsiTheme="minorHAnsi"/>
        </w:rPr>
      </w:pPr>
      <w:r w:rsidRPr="007030A3">
        <w:rPr>
          <w:rFonts w:asciiTheme="minorHAnsi" w:hAnsiTheme="minorHAnsi"/>
        </w:rPr>
        <w:t>For firms that have the ability, calculating end investor fees on a daily basis is the most accurate</w:t>
      </w:r>
      <w:r>
        <w:rPr>
          <w:rFonts w:asciiTheme="minorHAnsi" w:hAnsiTheme="minorHAnsi"/>
        </w:rPr>
        <w:t>;</w:t>
      </w:r>
      <w:r w:rsidRPr="007030A3">
        <w:rPr>
          <w:rFonts w:asciiTheme="minorHAnsi" w:hAnsiTheme="minorHAnsi"/>
        </w:rPr>
        <w:t xml:space="preserve"> however</w:t>
      </w:r>
      <w:r>
        <w:rPr>
          <w:rFonts w:asciiTheme="minorHAnsi" w:hAnsiTheme="minorHAnsi"/>
        </w:rPr>
        <w:t>,</w:t>
      </w:r>
      <w:r w:rsidRPr="007030A3">
        <w:rPr>
          <w:rFonts w:asciiTheme="minorHAnsi" w:hAnsiTheme="minorHAnsi"/>
        </w:rPr>
        <w:t xml:space="preserve"> undertaking the calculation monthly would be sufficient in our opinion.</w:t>
      </w:r>
    </w:p>
    <w:p w14:paraId="2CB5515F" w14:textId="77777777" w:rsidR="001B0822" w:rsidRDefault="001B0822" w:rsidP="00894AA2">
      <w:pPr>
        <w:ind w:left="426"/>
        <w:jc w:val="both"/>
        <w:rPr>
          <w:rFonts w:asciiTheme="minorHAnsi" w:hAnsiTheme="minorHAnsi"/>
        </w:rPr>
      </w:pPr>
    </w:p>
    <w:p w14:paraId="42FF76B0" w14:textId="5EA35A9A" w:rsidR="001B0822" w:rsidRPr="007030A3" w:rsidRDefault="001B0822" w:rsidP="00894AA2">
      <w:pPr>
        <w:ind w:left="426"/>
        <w:jc w:val="both"/>
        <w:rPr>
          <w:rFonts w:asciiTheme="minorHAnsi" w:hAnsiTheme="minorHAnsi"/>
        </w:rPr>
      </w:pPr>
      <w:r w:rsidRPr="007030A3">
        <w:rPr>
          <w:rFonts w:asciiTheme="minorHAnsi" w:hAnsiTheme="minorHAnsi"/>
        </w:rPr>
        <w:t xml:space="preserve">The period fees can be calculated by the following steps: </w:t>
      </w:r>
    </w:p>
    <w:p w14:paraId="5D791B39" w14:textId="77777777" w:rsidR="001B0822" w:rsidRDefault="001B0822" w:rsidP="00894AA2">
      <w:pPr>
        <w:pStyle w:val="ListParagraph"/>
        <w:spacing w:after="200" w:line="276" w:lineRule="auto"/>
        <w:ind w:left="426"/>
        <w:jc w:val="both"/>
        <w:rPr>
          <w:rFonts w:asciiTheme="minorHAnsi" w:hAnsiTheme="minorHAnsi"/>
        </w:rPr>
      </w:pPr>
    </w:p>
    <w:p w14:paraId="0A163905" w14:textId="77777777" w:rsidR="001B0822" w:rsidRPr="007030A3" w:rsidRDefault="001B0822" w:rsidP="00894AA2">
      <w:pPr>
        <w:pStyle w:val="ListParagraph"/>
        <w:numPr>
          <w:ilvl w:val="0"/>
          <w:numId w:val="13"/>
        </w:numPr>
        <w:spacing w:after="200" w:line="276" w:lineRule="auto"/>
        <w:ind w:left="1276"/>
        <w:jc w:val="both"/>
        <w:rPr>
          <w:rFonts w:asciiTheme="minorHAnsi" w:hAnsiTheme="minorHAnsi"/>
        </w:rPr>
      </w:pPr>
      <w:r w:rsidRPr="007030A3">
        <w:rPr>
          <w:rFonts w:asciiTheme="minorHAnsi" w:hAnsiTheme="minorHAnsi"/>
        </w:rPr>
        <w:t>Taking the opening balance for each product at the beginning of the period.</w:t>
      </w:r>
    </w:p>
    <w:p w14:paraId="11962A18" w14:textId="5C1F1C69" w:rsidR="001B0822" w:rsidRPr="007030A3" w:rsidRDefault="001B0822" w:rsidP="00894AA2">
      <w:pPr>
        <w:pStyle w:val="ListParagraph"/>
        <w:numPr>
          <w:ilvl w:val="1"/>
          <w:numId w:val="13"/>
        </w:numPr>
        <w:spacing w:after="200" w:line="276" w:lineRule="auto"/>
        <w:ind w:left="1440"/>
        <w:jc w:val="both"/>
        <w:rPr>
          <w:rFonts w:asciiTheme="minorHAnsi" w:hAnsiTheme="minorHAnsi"/>
        </w:rPr>
      </w:pPr>
      <w:r w:rsidRPr="007030A3">
        <w:rPr>
          <w:rFonts w:asciiTheme="minorHAnsi" w:hAnsiTheme="minorHAnsi"/>
        </w:rPr>
        <w:t xml:space="preserve"> This is simply the amount the client had invested in the product at the time and can be calculated by taking the product price per unit (e.g. NAV) and multiplying by the number of units held, or in the case or </w:t>
      </w:r>
      <w:r w:rsidR="005D3A5E">
        <w:rPr>
          <w:rFonts w:asciiTheme="minorHAnsi" w:hAnsiTheme="minorHAnsi"/>
        </w:rPr>
        <w:t>E</w:t>
      </w:r>
      <w:r w:rsidRPr="007030A3">
        <w:rPr>
          <w:rFonts w:asciiTheme="minorHAnsi" w:hAnsiTheme="minorHAnsi"/>
        </w:rPr>
        <w:t>x-</w:t>
      </w:r>
      <w:r w:rsidR="005D3A5E">
        <w:rPr>
          <w:rFonts w:asciiTheme="minorHAnsi" w:hAnsiTheme="minorHAnsi"/>
        </w:rPr>
        <w:t>A</w:t>
      </w:r>
      <w:r w:rsidRPr="007030A3">
        <w:rPr>
          <w:rFonts w:asciiTheme="minorHAnsi" w:hAnsiTheme="minorHAnsi"/>
        </w:rPr>
        <w:t>nte projection using an assumed growth rate.</w:t>
      </w:r>
    </w:p>
    <w:p w14:paraId="48D993D0" w14:textId="77777777" w:rsidR="001B0822" w:rsidRPr="007030A3" w:rsidRDefault="001B0822" w:rsidP="00894AA2">
      <w:pPr>
        <w:pStyle w:val="ListParagraph"/>
        <w:numPr>
          <w:ilvl w:val="0"/>
          <w:numId w:val="13"/>
        </w:numPr>
        <w:spacing w:after="200" w:line="276" w:lineRule="auto"/>
        <w:ind w:left="1276"/>
        <w:jc w:val="both"/>
        <w:rPr>
          <w:rFonts w:asciiTheme="minorHAnsi" w:hAnsiTheme="minorHAnsi"/>
        </w:rPr>
      </w:pPr>
      <w:r w:rsidRPr="007030A3">
        <w:rPr>
          <w:rFonts w:asciiTheme="minorHAnsi" w:hAnsiTheme="minorHAnsi"/>
        </w:rPr>
        <w:t xml:space="preserve">De-annualising the relevant ongoing charge, transaction fee and performance fee charged by the product. </w:t>
      </w:r>
    </w:p>
    <w:p w14:paraId="5E087C23" w14:textId="77777777" w:rsidR="001B0822" w:rsidRPr="007030A3" w:rsidRDefault="001B0822" w:rsidP="00894AA2">
      <w:pPr>
        <w:pStyle w:val="ListParagraph"/>
        <w:numPr>
          <w:ilvl w:val="1"/>
          <w:numId w:val="13"/>
        </w:numPr>
        <w:spacing w:after="200" w:line="276" w:lineRule="auto"/>
        <w:ind w:left="1440"/>
        <w:jc w:val="both"/>
        <w:rPr>
          <w:rFonts w:asciiTheme="minorHAnsi" w:hAnsiTheme="minorHAnsi"/>
        </w:rPr>
      </w:pPr>
      <w:r w:rsidRPr="007030A3">
        <w:rPr>
          <w:rFonts w:asciiTheme="minorHAnsi" w:hAnsiTheme="minorHAnsi"/>
        </w:rPr>
        <w:t>This can be done by taking the annual fee and raising to the power of 1/(number of periods in a year) – e.g. 1/12 if using monthly periods or 1/(# days end investor portfolio valued in the year) if using daily periods.</w:t>
      </w:r>
    </w:p>
    <w:p w14:paraId="068F21EF" w14:textId="77777777" w:rsidR="001B0822" w:rsidRPr="007030A3" w:rsidRDefault="001B0822" w:rsidP="00894AA2">
      <w:pPr>
        <w:pStyle w:val="ListParagraph"/>
        <w:numPr>
          <w:ilvl w:val="0"/>
          <w:numId w:val="13"/>
        </w:numPr>
        <w:spacing w:after="200" w:line="276" w:lineRule="auto"/>
        <w:ind w:left="1276"/>
        <w:jc w:val="both"/>
        <w:rPr>
          <w:rFonts w:asciiTheme="minorHAnsi" w:hAnsiTheme="minorHAnsi"/>
        </w:rPr>
      </w:pPr>
      <w:r w:rsidRPr="007030A3">
        <w:rPr>
          <w:rFonts w:asciiTheme="minorHAnsi" w:hAnsiTheme="minorHAnsi"/>
        </w:rPr>
        <w:t>Multiplying the opening period balance by the de-annualised fee will give the relevant charge for the period.</w:t>
      </w:r>
    </w:p>
    <w:p w14:paraId="3C1591C9" w14:textId="77777777" w:rsidR="001B0822" w:rsidRPr="007030A3" w:rsidRDefault="001B0822" w:rsidP="00894AA2">
      <w:pPr>
        <w:pStyle w:val="ListParagraph"/>
        <w:numPr>
          <w:ilvl w:val="0"/>
          <w:numId w:val="13"/>
        </w:numPr>
        <w:spacing w:after="200" w:line="276" w:lineRule="auto"/>
        <w:ind w:left="1276"/>
        <w:jc w:val="both"/>
        <w:rPr>
          <w:rFonts w:asciiTheme="minorHAnsi" w:hAnsiTheme="minorHAnsi"/>
        </w:rPr>
      </w:pPr>
      <w:r w:rsidRPr="007030A3">
        <w:rPr>
          <w:rFonts w:asciiTheme="minorHAnsi" w:hAnsiTheme="minorHAnsi"/>
        </w:rPr>
        <w:t>Repeating this process for each period, and for each product will show the total product costs throughout the year in currency terms.</w:t>
      </w:r>
    </w:p>
    <w:p w14:paraId="22869C32" w14:textId="2974E60E" w:rsidR="001B0822" w:rsidRPr="007030A3" w:rsidRDefault="001B0822" w:rsidP="00894AA2">
      <w:pPr>
        <w:ind w:left="426"/>
        <w:jc w:val="both"/>
        <w:rPr>
          <w:rFonts w:asciiTheme="minorHAnsi" w:hAnsiTheme="minorHAnsi"/>
        </w:rPr>
      </w:pPr>
      <w:r w:rsidRPr="007030A3">
        <w:rPr>
          <w:rFonts w:asciiTheme="minorHAnsi" w:hAnsiTheme="minorHAnsi"/>
        </w:rPr>
        <w:t xml:space="preserve">The method for calculating the costs in percentage terms for an </w:t>
      </w:r>
      <w:r w:rsidR="005D3A5E">
        <w:rPr>
          <w:rFonts w:asciiTheme="minorHAnsi" w:hAnsiTheme="minorHAnsi"/>
        </w:rPr>
        <w:t>E</w:t>
      </w:r>
      <w:r w:rsidRPr="007030A3">
        <w:rPr>
          <w:rFonts w:asciiTheme="minorHAnsi" w:hAnsiTheme="minorHAnsi"/>
        </w:rPr>
        <w:t>x-</w:t>
      </w:r>
      <w:r w:rsidR="005D3A5E">
        <w:rPr>
          <w:rFonts w:asciiTheme="minorHAnsi" w:hAnsiTheme="minorHAnsi"/>
        </w:rPr>
        <w:t>A</w:t>
      </w:r>
      <w:r w:rsidRPr="007030A3">
        <w:rPr>
          <w:rFonts w:asciiTheme="minorHAnsi" w:hAnsiTheme="minorHAnsi"/>
        </w:rPr>
        <w:t xml:space="preserve">nte report using a single lump sum figure is to take the relevant cost for the period and divide by the initial amount. If the report is for </w:t>
      </w:r>
      <w:r w:rsidR="005D3A5E">
        <w:rPr>
          <w:rFonts w:asciiTheme="minorHAnsi" w:hAnsiTheme="minorHAnsi"/>
        </w:rPr>
        <w:t>E</w:t>
      </w:r>
      <w:r w:rsidRPr="007030A3">
        <w:rPr>
          <w:rFonts w:asciiTheme="minorHAnsi" w:hAnsiTheme="minorHAnsi"/>
        </w:rPr>
        <w:t>x-</w:t>
      </w:r>
      <w:r w:rsidR="005D3A5E">
        <w:rPr>
          <w:rFonts w:asciiTheme="minorHAnsi" w:hAnsiTheme="minorHAnsi"/>
        </w:rPr>
        <w:t>A</w:t>
      </w:r>
      <w:r w:rsidRPr="007030A3">
        <w:rPr>
          <w:rFonts w:asciiTheme="minorHAnsi" w:hAnsiTheme="minorHAnsi"/>
        </w:rPr>
        <w:t xml:space="preserve">nte regular savings or </w:t>
      </w:r>
      <w:r w:rsidR="005D3A5E">
        <w:rPr>
          <w:rFonts w:asciiTheme="minorHAnsi" w:hAnsiTheme="minorHAnsi"/>
        </w:rPr>
        <w:t>E</w:t>
      </w:r>
      <w:r w:rsidRPr="007030A3">
        <w:rPr>
          <w:rFonts w:asciiTheme="minorHAnsi" w:hAnsiTheme="minorHAnsi"/>
        </w:rPr>
        <w:t>x-</w:t>
      </w:r>
      <w:r w:rsidR="005D3A5E">
        <w:rPr>
          <w:rFonts w:asciiTheme="minorHAnsi" w:hAnsiTheme="minorHAnsi"/>
        </w:rPr>
        <w:t>P</w:t>
      </w:r>
      <w:r w:rsidRPr="007030A3">
        <w:rPr>
          <w:rFonts w:asciiTheme="minorHAnsi" w:hAnsiTheme="minorHAnsi"/>
        </w:rPr>
        <w:t>ost then use the average account balance over the period as the divisor.</w:t>
      </w:r>
    </w:p>
    <w:p w14:paraId="2122EB47" w14:textId="77777777" w:rsidR="001B0822" w:rsidRDefault="001B0822" w:rsidP="00894AA2">
      <w:pPr>
        <w:ind w:left="426"/>
        <w:jc w:val="both"/>
        <w:rPr>
          <w:rFonts w:asciiTheme="minorHAnsi" w:hAnsiTheme="minorHAnsi"/>
        </w:rPr>
      </w:pPr>
    </w:p>
    <w:p w14:paraId="53A8D6B6" w14:textId="19357766" w:rsidR="001B0822" w:rsidRPr="007030A3" w:rsidRDefault="001B0822" w:rsidP="00894AA2">
      <w:pPr>
        <w:ind w:left="426"/>
        <w:jc w:val="both"/>
        <w:rPr>
          <w:rFonts w:asciiTheme="minorHAnsi" w:hAnsiTheme="minorHAnsi"/>
        </w:rPr>
      </w:pPr>
      <w:r w:rsidRPr="007030A3">
        <w:rPr>
          <w:rFonts w:asciiTheme="minorHAnsi" w:hAnsiTheme="minorHAnsi"/>
        </w:rPr>
        <w:t>The calculation needs to take into account significant cash flows e.g. the end investor injecting additional monies into the account or making any withdrawals</w:t>
      </w:r>
      <w:r w:rsidR="005D3A5E">
        <w:rPr>
          <w:rFonts w:asciiTheme="minorHAnsi" w:hAnsiTheme="minorHAnsi"/>
        </w:rPr>
        <w:t xml:space="preserve">.  </w:t>
      </w:r>
      <w:r w:rsidRPr="007030A3">
        <w:rPr>
          <w:rFonts w:asciiTheme="minorHAnsi" w:hAnsiTheme="minorHAnsi"/>
        </w:rPr>
        <w:t xml:space="preserve"> </w:t>
      </w:r>
      <w:r w:rsidR="005D3A5E">
        <w:rPr>
          <w:rFonts w:asciiTheme="minorHAnsi" w:hAnsiTheme="minorHAnsi"/>
        </w:rPr>
        <w:t>A</w:t>
      </w:r>
      <w:r w:rsidRPr="007030A3">
        <w:rPr>
          <w:rFonts w:asciiTheme="minorHAnsi" w:hAnsiTheme="minorHAnsi"/>
        </w:rPr>
        <w:t>ny entry or exit costs need to be calculated at the time of the inflow or withdrawal and then the purchase/sale will affect the opening balance held in the product for the next period’s fee calculation.</w:t>
      </w:r>
    </w:p>
    <w:p w14:paraId="0F41EEBE" w14:textId="77777777" w:rsidR="001B0822" w:rsidRDefault="001B0822" w:rsidP="00894AA2">
      <w:pPr>
        <w:ind w:left="426"/>
        <w:jc w:val="both"/>
        <w:rPr>
          <w:rFonts w:asciiTheme="minorHAnsi" w:hAnsiTheme="minorHAnsi"/>
        </w:rPr>
      </w:pPr>
    </w:p>
    <w:p w14:paraId="6F70B4B4" w14:textId="77777777" w:rsidR="001B0822" w:rsidRPr="007030A3" w:rsidRDefault="001B0822" w:rsidP="00894AA2">
      <w:pPr>
        <w:ind w:left="426"/>
        <w:jc w:val="both"/>
        <w:rPr>
          <w:rFonts w:asciiTheme="minorHAnsi" w:hAnsiTheme="minorHAnsi"/>
        </w:rPr>
      </w:pPr>
      <w:r w:rsidRPr="007030A3">
        <w:rPr>
          <w:rFonts w:asciiTheme="minorHAnsi" w:hAnsiTheme="minorHAnsi"/>
        </w:rPr>
        <w:t xml:space="preserve">An interactive example modelled in a Microsoft Excel ® spreadsheet has been provided to help illustrate the calculations.  </w:t>
      </w:r>
    </w:p>
    <w:p w14:paraId="2C7BF2B6" w14:textId="77777777" w:rsidR="007B3E57" w:rsidRDefault="007B3E57" w:rsidP="001B0822">
      <w:pPr>
        <w:jc w:val="both"/>
        <w:rPr>
          <w:rFonts w:asciiTheme="minorHAnsi" w:hAnsiTheme="minorHAnsi"/>
          <w:szCs w:val="22"/>
        </w:rPr>
      </w:pPr>
    </w:p>
    <w:p w14:paraId="3A217B5F" w14:textId="2E872A01" w:rsidR="00BF1805" w:rsidRDefault="00A65DDB">
      <w:pPr>
        <w:spacing w:after="160" w:line="259" w:lineRule="auto"/>
        <w:ind w:left="0"/>
      </w:pPr>
      <w:r>
        <w:rPr>
          <w:rFonts w:asciiTheme="minorHAnsi" w:hAnsiTheme="minorHAnsi"/>
          <w:szCs w:val="22"/>
        </w:rPr>
        <w:object w:dxaOrig="1560" w:dyaOrig="1000" w14:anchorId="411DF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pt;height:50.4pt" o:ole="">
            <v:imagedata r:id="rId28" o:title=""/>
          </v:shape>
          <o:OLEObject Type="Embed" ProgID="Excel.Sheet.12" ShapeID="_x0000_i1025" DrawAspect="Icon" ObjectID="_1484809605" r:id="rId29"/>
        </w:object>
      </w:r>
      <w:bookmarkStart w:id="681" w:name="_MON_1566319564"/>
      <w:bookmarkEnd w:id="681"/>
      <w:r w:rsidR="00BF1805">
        <w:br w:type="page"/>
      </w:r>
    </w:p>
    <w:p w14:paraId="7B699FA5" w14:textId="639B46A8" w:rsidR="00EE3219" w:rsidRDefault="00EE3219" w:rsidP="002E45F4">
      <w:pPr>
        <w:pStyle w:val="Heading1"/>
      </w:pPr>
      <w:bookmarkStart w:id="682" w:name="_Toc364343724"/>
      <w:bookmarkStart w:id="683" w:name="_Toc364635789"/>
      <w:bookmarkStart w:id="684" w:name="_Toc364636181"/>
      <w:bookmarkStart w:id="685" w:name="_Toc364636617"/>
      <w:bookmarkStart w:id="686" w:name="_Toc366502111"/>
      <w:bookmarkStart w:id="687" w:name="_Toc369907892"/>
      <w:bookmarkStart w:id="688" w:name="_Toc370052409"/>
      <w:bookmarkStart w:id="689" w:name="_Toc372234557"/>
      <w:bookmarkStart w:id="690" w:name="_Toc395871085"/>
      <w:bookmarkStart w:id="691" w:name="_Toc409468252"/>
      <w:r w:rsidRPr="002E45F4">
        <w:rPr>
          <w:rFonts w:asciiTheme="minorHAnsi" w:hAnsiTheme="minorHAnsi"/>
          <w:b/>
          <w:bCs/>
          <w:color w:val="auto"/>
          <w:sz w:val="28"/>
          <w:szCs w:val="28"/>
        </w:rPr>
        <w:lastRenderedPageBreak/>
        <w:t>Cumulative Effect of Costs on Return for Ex-Post Reporting</w:t>
      </w:r>
      <w:bookmarkEnd w:id="682"/>
      <w:bookmarkEnd w:id="683"/>
      <w:bookmarkEnd w:id="684"/>
      <w:bookmarkEnd w:id="685"/>
      <w:bookmarkEnd w:id="686"/>
      <w:bookmarkEnd w:id="687"/>
      <w:bookmarkEnd w:id="688"/>
      <w:bookmarkEnd w:id="689"/>
      <w:bookmarkEnd w:id="690"/>
      <w:bookmarkEnd w:id="691"/>
    </w:p>
    <w:p w14:paraId="129147BE" w14:textId="77777777" w:rsidR="00EE3219" w:rsidRDefault="00EE3219" w:rsidP="00EE3219">
      <w:pPr>
        <w:spacing w:line="276" w:lineRule="auto"/>
        <w:jc w:val="both"/>
        <w:rPr>
          <w:rFonts w:asciiTheme="minorHAnsi" w:hAnsiTheme="minorHAnsi" w:cstheme="minorHAnsi"/>
          <w:szCs w:val="22"/>
        </w:rPr>
      </w:pPr>
    </w:p>
    <w:p w14:paraId="6A7A091B" w14:textId="77777777" w:rsidR="00EE3219" w:rsidRDefault="00EE3219" w:rsidP="00EE3219">
      <w:pPr>
        <w:spacing w:line="276" w:lineRule="auto"/>
        <w:jc w:val="both"/>
        <w:rPr>
          <w:rFonts w:asciiTheme="minorHAnsi" w:hAnsiTheme="minorHAnsi" w:cstheme="minorHAnsi"/>
          <w:szCs w:val="22"/>
        </w:rPr>
      </w:pPr>
      <w:r w:rsidRPr="00A14F30">
        <w:rPr>
          <w:rFonts w:asciiTheme="minorHAnsi" w:hAnsiTheme="minorHAnsi" w:cstheme="minorHAnsi"/>
          <w:szCs w:val="22"/>
        </w:rPr>
        <w:t xml:space="preserve">Many investment firms will be employing systems that calculate performance before and after fees, valuing portfolios on a daily basis, thereby adjusting for daily cash flows and daily market movements. Using the daily data to calculate the average capital employed will account most accurately for inflows and outflows and reduce distortions. </w:t>
      </w:r>
      <w:r>
        <w:rPr>
          <w:rFonts w:asciiTheme="minorHAnsi" w:hAnsiTheme="minorHAnsi" w:cstheme="minorHAnsi"/>
          <w:szCs w:val="22"/>
        </w:rPr>
        <w:t xml:space="preserve">It will also help to ensure that the impact of initial fees for example on the performance is proportionate to the actual value of the funds at that point. </w:t>
      </w:r>
      <w:r w:rsidRPr="00A14F30">
        <w:rPr>
          <w:rFonts w:asciiTheme="minorHAnsi" w:hAnsiTheme="minorHAnsi" w:cstheme="minorHAnsi"/>
          <w:szCs w:val="22"/>
        </w:rPr>
        <w:t>Using monthly valuation data would be sufficient if this is not possible however the level of difference will depend on the volume and timing of inflows</w:t>
      </w:r>
      <w:r>
        <w:rPr>
          <w:rFonts w:asciiTheme="minorHAnsi" w:hAnsiTheme="minorHAnsi" w:cstheme="minorHAnsi"/>
          <w:szCs w:val="22"/>
        </w:rPr>
        <w:t>, o</w:t>
      </w:r>
      <w:r w:rsidRPr="00A14F30">
        <w:rPr>
          <w:rFonts w:asciiTheme="minorHAnsi" w:hAnsiTheme="minorHAnsi" w:cstheme="minorHAnsi"/>
          <w:szCs w:val="22"/>
        </w:rPr>
        <w:t>utflows</w:t>
      </w:r>
      <w:r>
        <w:rPr>
          <w:rFonts w:asciiTheme="minorHAnsi" w:hAnsiTheme="minorHAnsi" w:cstheme="minorHAnsi"/>
          <w:szCs w:val="22"/>
        </w:rPr>
        <w:t xml:space="preserve"> and fees</w:t>
      </w:r>
      <w:r w:rsidRPr="00A14F30">
        <w:rPr>
          <w:rFonts w:asciiTheme="minorHAnsi" w:hAnsiTheme="minorHAnsi" w:cstheme="minorHAnsi"/>
          <w:szCs w:val="22"/>
        </w:rPr>
        <w:t xml:space="preserve">. </w:t>
      </w:r>
    </w:p>
    <w:p w14:paraId="66BC3CC7" w14:textId="77777777" w:rsidR="00EE3219" w:rsidRPr="00A14F30" w:rsidRDefault="00EE3219" w:rsidP="00EE3219">
      <w:pPr>
        <w:spacing w:line="276" w:lineRule="auto"/>
        <w:jc w:val="both"/>
        <w:rPr>
          <w:rFonts w:asciiTheme="minorHAnsi" w:hAnsiTheme="minorHAnsi" w:cstheme="minorHAnsi"/>
          <w:szCs w:val="22"/>
        </w:rPr>
      </w:pPr>
    </w:p>
    <w:p w14:paraId="3978B0C0" w14:textId="309499B3" w:rsidR="00EE3219" w:rsidRDefault="00C6322E" w:rsidP="00EE3219">
      <w:pPr>
        <w:spacing w:line="276" w:lineRule="auto"/>
        <w:jc w:val="both"/>
        <w:rPr>
          <w:rFonts w:asciiTheme="minorHAnsi" w:hAnsiTheme="minorHAnsi" w:cstheme="minorHAnsi"/>
          <w:szCs w:val="22"/>
        </w:rPr>
      </w:pPr>
      <w:r w:rsidRPr="00C6322E">
        <w:rPr>
          <w:rFonts w:asciiTheme="minorHAnsi" w:hAnsiTheme="minorHAnsi" w:cstheme="minorHAnsi"/>
          <w:szCs w:val="22"/>
        </w:rPr>
        <w:t>Chapt</w:t>
      </w:r>
      <w:r w:rsidR="007A0F56">
        <w:rPr>
          <w:rFonts w:asciiTheme="minorHAnsi" w:hAnsiTheme="minorHAnsi" w:cstheme="minorHAnsi"/>
          <w:szCs w:val="22"/>
        </w:rPr>
        <w:t>er 4 referred to reporting the c</w:t>
      </w:r>
      <w:r w:rsidRPr="00C6322E">
        <w:rPr>
          <w:rFonts w:asciiTheme="minorHAnsi" w:hAnsiTheme="minorHAnsi" w:cstheme="minorHAnsi"/>
          <w:szCs w:val="22"/>
        </w:rPr>
        <w:t>umulative effect of costs on the return for Ex-Ante disclosures where the Reduction in Yield from PRIIPs</w:t>
      </w:r>
      <w:r w:rsidR="00573E87">
        <w:rPr>
          <w:rFonts w:asciiTheme="minorHAnsi" w:hAnsiTheme="minorHAnsi" w:cstheme="minorHAnsi"/>
          <w:szCs w:val="22"/>
        </w:rPr>
        <w:t xml:space="preserve"> </w:t>
      </w:r>
      <w:r w:rsidR="00187142" w:rsidRPr="00C6322E">
        <w:rPr>
          <w:rFonts w:asciiTheme="minorHAnsi" w:hAnsiTheme="minorHAnsi" w:cstheme="minorHAnsi"/>
          <w:szCs w:val="22"/>
        </w:rPr>
        <w:t>is applied</w:t>
      </w:r>
      <w:r w:rsidRPr="00C6322E">
        <w:rPr>
          <w:rFonts w:asciiTheme="minorHAnsi" w:hAnsiTheme="minorHAnsi" w:cstheme="minorHAnsi"/>
          <w:szCs w:val="22"/>
        </w:rPr>
        <w:t xml:space="preserve"> to determine the impact of fees by projecting forward the notional value by the illustration </w:t>
      </w:r>
      <w:r w:rsidR="00573E87">
        <w:rPr>
          <w:rFonts w:asciiTheme="minorHAnsi" w:hAnsiTheme="minorHAnsi" w:cstheme="minorHAnsi"/>
          <w:szCs w:val="22"/>
        </w:rPr>
        <w:t xml:space="preserve">growth </w:t>
      </w:r>
      <w:r w:rsidRPr="00C6322E">
        <w:rPr>
          <w:rFonts w:asciiTheme="minorHAnsi" w:hAnsiTheme="minorHAnsi" w:cstheme="minorHAnsi"/>
          <w:szCs w:val="22"/>
        </w:rPr>
        <w:t>rate without any costs, and reducing this by the actual growth.  For Ex</w:t>
      </w:r>
      <w:r w:rsidR="005D3A5E">
        <w:rPr>
          <w:rFonts w:asciiTheme="minorHAnsi" w:hAnsiTheme="minorHAnsi" w:cstheme="minorHAnsi"/>
          <w:szCs w:val="22"/>
        </w:rPr>
        <w:t>-</w:t>
      </w:r>
      <w:r w:rsidRPr="00C6322E">
        <w:rPr>
          <w:rFonts w:asciiTheme="minorHAnsi" w:hAnsiTheme="minorHAnsi" w:cstheme="minorHAnsi"/>
          <w:szCs w:val="22"/>
        </w:rPr>
        <w:t>Post reporting the actual realised net return should be compared</w:t>
      </w:r>
      <w:r w:rsidR="007D45E0">
        <w:rPr>
          <w:rFonts w:asciiTheme="minorHAnsi" w:hAnsiTheme="minorHAnsi" w:cstheme="minorHAnsi"/>
          <w:szCs w:val="22"/>
        </w:rPr>
        <w:t xml:space="preserve"> with</w:t>
      </w:r>
      <w:r w:rsidRPr="00C6322E">
        <w:rPr>
          <w:rFonts w:asciiTheme="minorHAnsi" w:hAnsiTheme="minorHAnsi" w:cstheme="minorHAnsi"/>
          <w:szCs w:val="22"/>
        </w:rPr>
        <w:t xml:space="preserve"> the return before the deduction of fees</w:t>
      </w:r>
      <w:r w:rsidR="007A0F56">
        <w:rPr>
          <w:rFonts w:asciiTheme="minorHAnsi" w:hAnsiTheme="minorHAnsi" w:cstheme="minorHAnsi"/>
          <w:szCs w:val="22"/>
        </w:rPr>
        <w:t>.</w:t>
      </w:r>
    </w:p>
    <w:p w14:paraId="7B80A352" w14:textId="77777777" w:rsidR="00C6322E" w:rsidRDefault="00C6322E" w:rsidP="00EE3219">
      <w:pPr>
        <w:spacing w:line="276" w:lineRule="auto"/>
        <w:jc w:val="both"/>
        <w:rPr>
          <w:rFonts w:asciiTheme="minorHAnsi" w:hAnsiTheme="minorHAnsi" w:cstheme="minorHAnsi"/>
          <w:szCs w:val="22"/>
        </w:rPr>
      </w:pPr>
    </w:p>
    <w:p w14:paraId="30E78185" w14:textId="36040232" w:rsidR="00EE3219" w:rsidRDefault="00EE3219" w:rsidP="00C6322E">
      <w:pPr>
        <w:pStyle w:val="ListParagraph"/>
        <w:numPr>
          <w:ilvl w:val="0"/>
          <w:numId w:val="48"/>
        </w:numPr>
        <w:spacing w:line="276" w:lineRule="auto"/>
        <w:jc w:val="both"/>
        <w:rPr>
          <w:rFonts w:asciiTheme="minorHAnsi" w:hAnsiTheme="minorHAnsi" w:cstheme="minorHAnsi"/>
          <w:szCs w:val="22"/>
        </w:rPr>
      </w:pPr>
      <w:r>
        <w:rPr>
          <w:rFonts w:asciiTheme="minorHAnsi" w:hAnsiTheme="minorHAnsi" w:cstheme="minorHAnsi"/>
          <w:szCs w:val="22"/>
        </w:rPr>
        <w:t>This can be summarized as:</w:t>
      </w:r>
      <w:r w:rsidR="00C6322E" w:rsidDel="00C6322E">
        <w:rPr>
          <w:rFonts w:asciiTheme="minorHAnsi" w:hAnsiTheme="minorHAnsi" w:cstheme="minorHAnsi"/>
          <w:szCs w:val="22"/>
        </w:rPr>
        <w:t xml:space="preserve"> </w:t>
      </w:r>
      <w:r>
        <w:rPr>
          <w:rFonts w:asciiTheme="minorHAnsi" w:hAnsiTheme="minorHAnsi" w:cstheme="minorHAnsi"/>
          <w:szCs w:val="22"/>
        </w:rPr>
        <w:t xml:space="preserve">Calculate </w:t>
      </w:r>
      <w:r w:rsidR="007B3E57">
        <w:rPr>
          <w:rFonts w:asciiTheme="minorHAnsi" w:hAnsiTheme="minorHAnsi" w:cstheme="minorHAnsi"/>
          <w:szCs w:val="22"/>
        </w:rPr>
        <w:t>the individual</w:t>
      </w:r>
      <w:r w:rsidR="002A5046">
        <w:rPr>
          <w:rFonts w:asciiTheme="minorHAnsi" w:hAnsiTheme="minorHAnsi" w:cstheme="minorHAnsi"/>
          <w:szCs w:val="22"/>
        </w:rPr>
        <w:t xml:space="preserve"> fee components and sum the </w:t>
      </w:r>
      <w:r>
        <w:rPr>
          <w:rFonts w:asciiTheme="minorHAnsi" w:hAnsiTheme="minorHAnsi" w:cstheme="minorHAnsi"/>
          <w:szCs w:val="22"/>
        </w:rPr>
        <w:t>total fees for the day</w:t>
      </w:r>
      <w:r w:rsidR="00C6322E">
        <w:rPr>
          <w:rFonts w:asciiTheme="minorHAnsi" w:hAnsiTheme="minorHAnsi" w:cstheme="minorHAnsi"/>
          <w:szCs w:val="22"/>
        </w:rPr>
        <w:t>. T</w:t>
      </w:r>
      <w:r w:rsidR="00C6322E" w:rsidRPr="00C6322E">
        <w:rPr>
          <w:rFonts w:asciiTheme="minorHAnsi" w:hAnsiTheme="minorHAnsi" w:cstheme="minorHAnsi"/>
          <w:szCs w:val="22"/>
        </w:rPr>
        <w:t>his can be referenced in column AV of the embedded spreadshee</w:t>
      </w:r>
      <w:r w:rsidR="00C6322E">
        <w:rPr>
          <w:rFonts w:asciiTheme="minorHAnsi" w:hAnsiTheme="minorHAnsi" w:cstheme="minorHAnsi"/>
          <w:szCs w:val="22"/>
        </w:rPr>
        <w:t>t</w:t>
      </w:r>
      <w:r w:rsidR="007D45E0">
        <w:rPr>
          <w:rFonts w:asciiTheme="minorHAnsi" w:hAnsiTheme="minorHAnsi" w:cstheme="minorHAnsi"/>
          <w:szCs w:val="22"/>
        </w:rPr>
        <w:t xml:space="preserve"> provided in Chapter 8</w:t>
      </w:r>
      <w:r w:rsidR="00C6322E">
        <w:rPr>
          <w:rFonts w:asciiTheme="minorHAnsi" w:hAnsiTheme="minorHAnsi" w:cstheme="minorHAnsi"/>
          <w:szCs w:val="22"/>
        </w:rPr>
        <w:t>.</w:t>
      </w:r>
    </w:p>
    <w:p w14:paraId="20E43F3B" w14:textId="77777777" w:rsidR="00634A1B" w:rsidRDefault="00634A1B" w:rsidP="002E45F4">
      <w:pPr>
        <w:pStyle w:val="ListParagraph"/>
        <w:spacing w:line="276" w:lineRule="auto"/>
        <w:ind w:left="1440"/>
        <w:jc w:val="both"/>
        <w:rPr>
          <w:rFonts w:asciiTheme="minorHAnsi" w:hAnsiTheme="minorHAnsi" w:cstheme="minorHAnsi"/>
          <w:szCs w:val="22"/>
        </w:rPr>
      </w:pPr>
    </w:p>
    <w:p w14:paraId="2423A65A" w14:textId="27D24ABC" w:rsidR="00C6322E" w:rsidRDefault="00C6322E" w:rsidP="00EE3219">
      <w:pPr>
        <w:pStyle w:val="ListParagraph"/>
        <w:numPr>
          <w:ilvl w:val="0"/>
          <w:numId w:val="48"/>
        </w:numPr>
        <w:spacing w:line="276" w:lineRule="auto"/>
        <w:jc w:val="both"/>
        <w:rPr>
          <w:rFonts w:asciiTheme="minorHAnsi" w:hAnsiTheme="minorHAnsi" w:cstheme="minorHAnsi"/>
          <w:szCs w:val="22"/>
        </w:rPr>
      </w:pPr>
      <w:r>
        <w:rPr>
          <w:rFonts w:asciiTheme="minorHAnsi" w:hAnsiTheme="minorHAnsi" w:cstheme="minorHAnsi"/>
          <w:szCs w:val="22"/>
        </w:rPr>
        <w:t>Sum the net value of the investments in the portfolio (after the deduction of fees)</w:t>
      </w:r>
    </w:p>
    <w:p w14:paraId="6F5A6C2F" w14:textId="77777777" w:rsidR="00634A1B" w:rsidRPr="002E45F4" w:rsidRDefault="00634A1B" w:rsidP="002E45F4">
      <w:pPr>
        <w:spacing w:line="276" w:lineRule="auto"/>
        <w:ind w:left="0"/>
        <w:jc w:val="both"/>
        <w:rPr>
          <w:rFonts w:asciiTheme="minorHAnsi" w:hAnsiTheme="minorHAnsi" w:cstheme="minorHAnsi"/>
          <w:szCs w:val="22"/>
        </w:rPr>
      </w:pPr>
    </w:p>
    <w:p w14:paraId="3C60980B" w14:textId="7D563D43" w:rsidR="00EE3219" w:rsidRDefault="00EE3219" w:rsidP="00EE3219">
      <w:pPr>
        <w:pStyle w:val="ListParagraph"/>
        <w:numPr>
          <w:ilvl w:val="0"/>
          <w:numId w:val="48"/>
        </w:numPr>
        <w:spacing w:line="276" w:lineRule="auto"/>
        <w:jc w:val="both"/>
        <w:rPr>
          <w:rFonts w:asciiTheme="minorHAnsi" w:hAnsiTheme="minorHAnsi" w:cstheme="minorHAnsi"/>
          <w:szCs w:val="22"/>
        </w:rPr>
      </w:pPr>
      <w:r>
        <w:rPr>
          <w:rFonts w:asciiTheme="minorHAnsi" w:hAnsiTheme="minorHAnsi" w:cstheme="minorHAnsi"/>
          <w:szCs w:val="22"/>
        </w:rPr>
        <w:t xml:space="preserve">Calculate the </w:t>
      </w:r>
      <w:r w:rsidR="00C6322E">
        <w:rPr>
          <w:rFonts w:asciiTheme="minorHAnsi" w:hAnsiTheme="minorHAnsi" w:cstheme="minorHAnsi"/>
          <w:szCs w:val="22"/>
        </w:rPr>
        <w:t>gross value of the portfolio (cost free scenario) by adding back the total fees to the net value in points 1 and 2.</w:t>
      </w:r>
      <w:r w:rsidR="00E86378">
        <w:rPr>
          <w:rFonts w:asciiTheme="minorHAnsi" w:hAnsiTheme="minorHAnsi" w:cstheme="minorHAnsi"/>
          <w:szCs w:val="22"/>
        </w:rPr>
        <w:t xml:space="preserve"> GIPS standards should be adopted if available and appropriate.</w:t>
      </w:r>
    </w:p>
    <w:p w14:paraId="3C1793A4" w14:textId="77777777" w:rsidR="00634A1B" w:rsidRPr="002E45F4" w:rsidRDefault="00634A1B" w:rsidP="002E45F4">
      <w:pPr>
        <w:spacing w:line="276" w:lineRule="auto"/>
        <w:ind w:left="0"/>
        <w:jc w:val="both"/>
        <w:rPr>
          <w:rFonts w:asciiTheme="minorHAnsi" w:hAnsiTheme="minorHAnsi" w:cstheme="minorHAnsi"/>
          <w:szCs w:val="22"/>
        </w:rPr>
      </w:pPr>
    </w:p>
    <w:p w14:paraId="5A2FAB38" w14:textId="075196E1" w:rsidR="00634A1B" w:rsidRDefault="00C6322E" w:rsidP="00EE3219">
      <w:pPr>
        <w:pStyle w:val="ListParagraph"/>
        <w:numPr>
          <w:ilvl w:val="0"/>
          <w:numId w:val="48"/>
        </w:numPr>
        <w:spacing w:line="276" w:lineRule="auto"/>
        <w:jc w:val="both"/>
        <w:rPr>
          <w:rFonts w:asciiTheme="minorHAnsi" w:hAnsiTheme="minorHAnsi" w:cstheme="minorHAnsi"/>
          <w:szCs w:val="22"/>
        </w:rPr>
      </w:pPr>
      <w:r>
        <w:rPr>
          <w:rFonts w:asciiTheme="minorHAnsi" w:hAnsiTheme="minorHAnsi" w:cstheme="minorHAnsi"/>
          <w:szCs w:val="22"/>
        </w:rPr>
        <w:t>Calculate the gross return by d</w:t>
      </w:r>
      <w:r w:rsidR="00EE3219">
        <w:rPr>
          <w:rFonts w:asciiTheme="minorHAnsi" w:hAnsiTheme="minorHAnsi" w:cstheme="minorHAnsi"/>
          <w:szCs w:val="22"/>
        </w:rPr>
        <w:t>ivid</w:t>
      </w:r>
      <w:r>
        <w:rPr>
          <w:rFonts w:asciiTheme="minorHAnsi" w:hAnsiTheme="minorHAnsi" w:cstheme="minorHAnsi"/>
          <w:szCs w:val="22"/>
        </w:rPr>
        <w:t xml:space="preserve">ing </w:t>
      </w:r>
      <w:r w:rsidR="00EE3219">
        <w:rPr>
          <w:rFonts w:asciiTheme="minorHAnsi" w:hAnsiTheme="minorHAnsi" w:cstheme="minorHAnsi"/>
          <w:szCs w:val="22"/>
        </w:rPr>
        <w:t xml:space="preserve">the </w:t>
      </w:r>
      <w:r>
        <w:rPr>
          <w:rFonts w:asciiTheme="minorHAnsi" w:hAnsiTheme="minorHAnsi" w:cstheme="minorHAnsi"/>
          <w:szCs w:val="22"/>
        </w:rPr>
        <w:t>calculated gross portfolio value by the previous (T-1) net value of the portfolio.</w:t>
      </w:r>
    </w:p>
    <w:p w14:paraId="60B5B7D5" w14:textId="354A79CA" w:rsidR="00EE3219" w:rsidRPr="002E45F4" w:rsidRDefault="00EE3219" w:rsidP="002E45F4">
      <w:pPr>
        <w:spacing w:line="276" w:lineRule="auto"/>
        <w:ind w:left="0"/>
        <w:jc w:val="both"/>
        <w:rPr>
          <w:rFonts w:asciiTheme="minorHAnsi" w:hAnsiTheme="minorHAnsi" w:cstheme="minorHAnsi"/>
          <w:szCs w:val="22"/>
        </w:rPr>
      </w:pPr>
    </w:p>
    <w:p w14:paraId="0508ED66" w14:textId="34F2C0B1" w:rsidR="00573E87" w:rsidRDefault="00573E87" w:rsidP="00573E87">
      <w:pPr>
        <w:pStyle w:val="ListParagraph"/>
        <w:numPr>
          <w:ilvl w:val="0"/>
          <w:numId w:val="48"/>
        </w:numPr>
        <w:spacing w:line="276" w:lineRule="auto"/>
        <w:jc w:val="both"/>
        <w:rPr>
          <w:rFonts w:asciiTheme="minorHAnsi" w:hAnsiTheme="minorHAnsi" w:cstheme="minorHAnsi"/>
          <w:szCs w:val="22"/>
        </w:rPr>
      </w:pPr>
      <w:r w:rsidRPr="00573E87">
        <w:rPr>
          <w:rFonts w:asciiTheme="minorHAnsi" w:hAnsiTheme="minorHAnsi" w:cstheme="minorHAnsi"/>
          <w:szCs w:val="22"/>
        </w:rPr>
        <w:t xml:space="preserve">Calculate the </w:t>
      </w:r>
      <w:r>
        <w:rPr>
          <w:rFonts w:asciiTheme="minorHAnsi" w:hAnsiTheme="minorHAnsi" w:cstheme="minorHAnsi"/>
          <w:szCs w:val="22"/>
        </w:rPr>
        <w:t>net return by dividing</w:t>
      </w:r>
      <w:r w:rsidRPr="00573E87">
        <w:rPr>
          <w:rFonts w:asciiTheme="minorHAnsi" w:hAnsiTheme="minorHAnsi" w:cstheme="minorHAnsi"/>
          <w:szCs w:val="22"/>
        </w:rPr>
        <w:t xml:space="preserve"> the </w:t>
      </w:r>
      <w:r>
        <w:rPr>
          <w:rFonts w:asciiTheme="minorHAnsi" w:hAnsiTheme="minorHAnsi" w:cstheme="minorHAnsi"/>
          <w:szCs w:val="22"/>
        </w:rPr>
        <w:t xml:space="preserve">net valuation of the </w:t>
      </w:r>
      <w:r w:rsidRPr="00573E87">
        <w:rPr>
          <w:rFonts w:asciiTheme="minorHAnsi" w:hAnsiTheme="minorHAnsi" w:cstheme="minorHAnsi"/>
          <w:szCs w:val="22"/>
        </w:rPr>
        <w:t xml:space="preserve">portfolio value by the previous </w:t>
      </w:r>
      <w:r>
        <w:rPr>
          <w:rFonts w:asciiTheme="minorHAnsi" w:hAnsiTheme="minorHAnsi" w:cstheme="minorHAnsi"/>
          <w:szCs w:val="22"/>
        </w:rPr>
        <w:t>(T-1) net value adjusted for flows</w:t>
      </w:r>
      <w:r w:rsidR="00634A1B">
        <w:rPr>
          <w:rFonts w:asciiTheme="minorHAnsi" w:hAnsiTheme="minorHAnsi" w:cstheme="minorHAnsi"/>
          <w:szCs w:val="22"/>
        </w:rPr>
        <w:t>.</w:t>
      </w:r>
    </w:p>
    <w:p w14:paraId="33614076" w14:textId="77777777" w:rsidR="00634A1B" w:rsidRDefault="00634A1B" w:rsidP="002E45F4">
      <w:pPr>
        <w:pStyle w:val="ListParagraph"/>
        <w:spacing w:line="276" w:lineRule="auto"/>
        <w:ind w:left="1440"/>
        <w:jc w:val="both"/>
        <w:rPr>
          <w:rFonts w:asciiTheme="minorHAnsi" w:hAnsiTheme="minorHAnsi" w:cstheme="minorHAnsi"/>
          <w:szCs w:val="22"/>
        </w:rPr>
      </w:pPr>
    </w:p>
    <w:p w14:paraId="5FD70743" w14:textId="77777777" w:rsidR="00634A1B" w:rsidRDefault="00573E87" w:rsidP="00573E87">
      <w:pPr>
        <w:pStyle w:val="ListParagraph"/>
        <w:numPr>
          <w:ilvl w:val="0"/>
          <w:numId w:val="48"/>
        </w:numPr>
        <w:spacing w:line="276" w:lineRule="auto"/>
        <w:jc w:val="both"/>
        <w:rPr>
          <w:rFonts w:asciiTheme="minorHAnsi" w:hAnsiTheme="minorHAnsi" w:cstheme="minorHAnsi"/>
          <w:szCs w:val="22"/>
        </w:rPr>
      </w:pPr>
      <w:r>
        <w:rPr>
          <w:rFonts w:asciiTheme="minorHAnsi" w:hAnsiTheme="minorHAnsi" w:cstheme="minorHAnsi"/>
          <w:szCs w:val="22"/>
        </w:rPr>
        <w:t>The daily or monthly gross and</w:t>
      </w:r>
      <w:r w:rsidRPr="00573E87">
        <w:rPr>
          <w:rFonts w:asciiTheme="minorHAnsi" w:hAnsiTheme="minorHAnsi" w:cstheme="minorHAnsi"/>
          <w:szCs w:val="22"/>
        </w:rPr>
        <w:t xml:space="preserve"> net of fee returns </w:t>
      </w:r>
      <w:r>
        <w:rPr>
          <w:rFonts w:asciiTheme="minorHAnsi" w:hAnsiTheme="minorHAnsi" w:cstheme="minorHAnsi"/>
          <w:szCs w:val="22"/>
        </w:rPr>
        <w:t xml:space="preserve">should then be </w:t>
      </w:r>
      <w:r w:rsidRPr="00573E87">
        <w:rPr>
          <w:rFonts w:asciiTheme="minorHAnsi" w:hAnsiTheme="minorHAnsi" w:cstheme="minorHAnsi"/>
          <w:szCs w:val="22"/>
        </w:rPr>
        <w:t xml:space="preserve">geometrically </w:t>
      </w:r>
      <w:r>
        <w:rPr>
          <w:rFonts w:asciiTheme="minorHAnsi" w:hAnsiTheme="minorHAnsi" w:cstheme="minorHAnsi"/>
          <w:szCs w:val="22"/>
        </w:rPr>
        <w:t xml:space="preserve">linked </w:t>
      </w:r>
      <w:r w:rsidRPr="00573E87">
        <w:rPr>
          <w:rFonts w:asciiTheme="minorHAnsi" w:hAnsiTheme="minorHAnsi" w:cstheme="minorHAnsi"/>
          <w:szCs w:val="22"/>
        </w:rPr>
        <w:t>to ge</w:t>
      </w:r>
      <w:r>
        <w:rPr>
          <w:rFonts w:asciiTheme="minorHAnsi" w:hAnsiTheme="minorHAnsi" w:cstheme="minorHAnsi"/>
          <w:szCs w:val="22"/>
        </w:rPr>
        <w:t>nerate the compound cumulative net and gross returns</w:t>
      </w:r>
      <w:r w:rsidRPr="00573E87">
        <w:rPr>
          <w:rFonts w:asciiTheme="minorHAnsi" w:hAnsiTheme="minorHAnsi" w:cstheme="minorHAnsi"/>
          <w:szCs w:val="22"/>
        </w:rPr>
        <w:t xml:space="preserve"> over the period.</w:t>
      </w:r>
    </w:p>
    <w:p w14:paraId="095DBF9F" w14:textId="573E81AF" w:rsidR="00573E87" w:rsidRPr="002E45F4" w:rsidRDefault="00573E87" w:rsidP="002E45F4">
      <w:pPr>
        <w:spacing w:line="276" w:lineRule="auto"/>
        <w:ind w:left="0"/>
        <w:jc w:val="both"/>
        <w:rPr>
          <w:rFonts w:asciiTheme="minorHAnsi" w:hAnsiTheme="minorHAnsi" w:cstheme="minorHAnsi"/>
          <w:szCs w:val="22"/>
        </w:rPr>
      </w:pPr>
      <w:r w:rsidRPr="002E45F4">
        <w:rPr>
          <w:rFonts w:asciiTheme="minorHAnsi" w:hAnsiTheme="minorHAnsi" w:cstheme="minorHAnsi"/>
          <w:szCs w:val="22"/>
        </w:rPr>
        <w:t xml:space="preserve"> </w:t>
      </w:r>
    </w:p>
    <w:p w14:paraId="697EBE2D" w14:textId="65CA21C9" w:rsidR="00573E87" w:rsidRDefault="00573E87" w:rsidP="00573E87">
      <w:pPr>
        <w:pStyle w:val="ListParagraph"/>
        <w:numPr>
          <w:ilvl w:val="0"/>
          <w:numId w:val="48"/>
        </w:numPr>
        <w:spacing w:line="276" w:lineRule="auto"/>
        <w:jc w:val="both"/>
        <w:rPr>
          <w:rFonts w:asciiTheme="minorHAnsi" w:hAnsiTheme="minorHAnsi" w:cstheme="minorHAnsi"/>
          <w:szCs w:val="22"/>
        </w:rPr>
      </w:pPr>
      <w:r>
        <w:rPr>
          <w:rFonts w:asciiTheme="minorHAnsi" w:hAnsiTheme="minorHAnsi" w:cstheme="minorHAnsi"/>
          <w:szCs w:val="22"/>
        </w:rPr>
        <w:t>The difference between the gross and net return equals the cumulative effect fees have had on the investment return</w:t>
      </w:r>
      <w:r w:rsidR="00634A1B">
        <w:rPr>
          <w:rFonts w:asciiTheme="minorHAnsi" w:hAnsiTheme="minorHAnsi" w:cstheme="minorHAnsi"/>
          <w:szCs w:val="22"/>
        </w:rPr>
        <w:t>.</w:t>
      </w:r>
    </w:p>
    <w:p w14:paraId="785B68A3" w14:textId="77777777" w:rsidR="00634A1B" w:rsidRPr="002E45F4" w:rsidRDefault="00634A1B" w:rsidP="002E45F4">
      <w:pPr>
        <w:spacing w:line="276" w:lineRule="auto"/>
        <w:ind w:left="0"/>
        <w:jc w:val="both"/>
        <w:rPr>
          <w:rFonts w:asciiTheme="minorHAnsi" w:hAnsiTheme="minorHAnsi" w:cstheme="minorHAnsi"/>
          <w:szCs w:val="22"/>
        </w:rPr>
      </w:pPr>
    </w:p>
    <w:p w14:paraId="3EBB02C8" w14:textId="3DAA07B8" w:rsidR="00EE3219" w:rsidRDefault="00EE3219" w:rsidP="002E45F4">
      <w:pPr>
        <w:pStyle w:val="ListParagraph"/>
        <w:numPr>
          <w:ilvl w:val="0"/>
          <w:numId w:val="48"/>
        </w:numPr>
        <w:spacing w:line="276" w:lineRule="auto"/>
        <w:jc w:val="both"/>
      </w:pPr>
      <w:r>
        <w:rPr>
          <w:rFonts w:asciiTheme="minorHAnsi" w:hAnsiTheme="minorHAnsi" w:cstheme="minorHAnsi"/>
          <w:szCs w:val="22"/>
        </w:rPr>
        <w:t xml:space="preserve">Note that the example provided in the spreadsheet utilises “start of day” accounting for performance calculations, however this is not </w:t>
      </w:r>
      <w:r w:rsidR="004267F5">
        <w:rPr>
          <w:rFonts w:asciiTheme="minorHAnsi" w:hAnsiTheme="minorHAnsi" w:cstheme="minorHAnsi"/>
          <w:szCs w:val="22"/>
        </w:rPr>
        <w:t>prescriptive,</w:t>
      </w:r>
      <w:r>
        <w:rPr>
          <w:rFonts w:asciiTheme="minorHAnsi" w:hAnsiTheme="minorHAnsi" w:cstheme="minorHAnsi"/>
          <w:szCs w:val="22"/>
        </w:rPr>
        <w:t xml:space="preserve"> and firms may adopt other performance measurement accounting policies. Where daily calculations are used, this is not expected to give significant impacts, however for monthly based </w:t>
      </w:r>
      <w:r>
        <w:rPr>
          <w:rFonts w:asciiTheme="minorHAnsi" w:hAnsiTheme="minorHAnsi" w:cstheme="minorHAnsi"/>
          <w:szCs w:val="22"/>
        </w:rPr>
        <w:lastRenderedPageBreak/>
        <w:t>calculations the difference will be more apparent where there are significant investment additions or withdrawals</w:t>
      </w:r>
      <w:r w:rsidR="00634A1B">
        <w:rPr>
          <w:rFonts w:asciiTheme="minorHAnsi" w:hAnsiTheme="minorHAnsi" w:cstheme="minorHAnsi"/>
          <w:szCs w:val="22"/>
        </w:rPr>
        <w:t>.</w:t>
      </w:r>
    </w:p>
    <w:p w14:paraId="27667E69" w14:textId="5B8C0C1A" w:rsidR="00EE3219" w:rsidRDefault="00EE3219" w:rsidP="007D53AC">
      <w:pPr>
        <w:spacing w:line="276" w:lineRule="auto"/>
        <w:ind w:left="1080"/>
        <w:jc w:val="both"/>
        <w:rPr>
          <w:rFonts w:asciiTheme="minorHAnsi" w:hAnsiTheme="minorHAnsi" w:cstheme="minorHAnsi"/>
          <w:szCs w:val="22"/>
        </w:rPr>
      </w:pPr>
      <w:r>
        <w:rPr>
          <w:rFonts w:asciiTheme="minorHAnsi" w:hAnsiTheme="minorHAnsi" w:cstheme="minorHAnsi"/>
          <w:szCs w:val="22"/>
        </w:rPr>
        <w:br/>
      </w:r>
      <w:r w:rsidRPr="00A14F30">
        <w:rPr>
          <w:rFonts w:asciiTheme="minorHAnsi" w:hAnsiTheme="minorHAnsi" w:cstheme="minorHAnsi"/>
          <w:szCs w:val="22"/>
        </w:rPr>
        <w:t xml:space="preserve">When providing the client </w:t>
      </w:r>
      <w:r w:rsidR="007D45E0">
        <w:rPr>
          <w:rFonts w:asciiTheme="minorHAnsi" w:hAnsiTheme="minorHAnsi" w:cstheme="minorHAnsi"/>
          <w:szCs w:val="22"/>
        </w:rPr>
        <w:t>E</w:t>
      </w:r>
      <w:r w:rsidRPr="00A14F30">
        <w:rPr>
          <w:rFonts w:asciiTheme="minorHAnsi" w:hAnsiTheme="minorHAnsi" w:cstheme="minorHAnsi"/>
          <w:szCs w:val="22"/>
        </w:rPr>
        <w:t>x-</w:t>
      </w:r>
      <w:r w:rsidR="007D45E0">
        <w:rPr>
          <w:rFonts w:asciiTheme="minorHAnsi" w:hAnsiTheme="minorHAnsi" w:cstheme="minorHAnsi"/>
          <w:szCs w:val="22"/>
        </w:rPr>
        <w:t>P</w:t>
      </w:r>
      <w:r w:rsidRPr="00A14F30">
        <w:rPr>
          <w:rFonts w:asciiTheme="minorHAnsi" w:hAnsiTheme="minorHAnsi" w:cstheme="minorHAnsi"/>
          <w:szCs w:val="22"/>
        </w:rPr>
        <w:t>ost with information on total costs and charges, a firm can for instance decide to show the historical costs, and simultaneously provide the client with a forward-looking illustration with regard to expected costs. In this case, the firm can show the historical costs that show a spike, for instance because of entry costs, and future expected costs based on the firm’s expectations (including anticipated spikes and fluctuations).</w:t>
      </w:r>
    </w:p>
    <w:p w14:paraId="5E9BB501" w14:textId="77777777" w:rsidR="00634A1B" w:rsidRPr="00A14F30" w:rsidRDefault="00634A1B" w:rsidP="007D53AC">
      <w:pPr>
        <w:spacing w:line="276" w:lineRule="auto"/>
        <w:ind w:left="1080"/>
        <w:jc w:val="both"/>
        <w:rPr>
          <w:rFonts w:asciiTheme="minorHAnsi" w:hAnsiTheme="minorHAnsi" w:cstheme="minorHAnsi"/>
          <w:szCs w:val="22"/>
        </w:rPr>
      </w:pPr>
    </w:p>
    <w:p w14:paraId="220C4E20" w14:textId="25D45724" w:rsidR="00EE3219" w:rsidRPr="00A14F30" w:rsidRDefault="00EE3219" w:rsidP="007D53AC">
      <w:pPr>
        <w:spacing w:line="276" w:lineRule="auto"/>
        <w:ind w:left="1080"/>
        <w:jc w:val="both"/>
        <w:rPr>
          <w:rFonts w:asciiTheme="minorHAnsi" w:hAnsiTheme="minorHAnsi" w:cstheme="minorHAnsi"/>
          <w:szCs w:val="22"/>
        </w:rPr>
      </w:pPr>
      <w:r w:rsidRPr="00A14F30">
        <w:rPr>
          <w:rFonts w:asciiTheme="minorHAnsi" w:hAnsiTheme="minorHAnsi" w:cstheme="minorHAnsi"/>
          <w:szCs w:val="22"/>
        </w:rPr>
        <w:t xml:space="preserve">If the </w:t>
      </w:r>
      <w:r w:rsidR="006842CE">
        <w:rPr>
          <w:rFonts w:asciiTheme="minorHAnsi" w:hAnsiTheme="minorHAnsi" w:cstheme="minorHAnsi"/>
          <w:szCs w:val="22"/>
        </w:rPr>
        <w:t>E</w:t>
      </w:r>
      <w:r w:rsidRPr="00A14F30">
        <w:rPr>
          <w:rFonts w:asciiTheme="minorHAnsi" w:hAnsiTheme="minorHAnsi" w:cstheme="minorHAnsi"/>
          <w:szCs w:val="22"/>
        </w:rPr>
        <w:t>x-</w:t>
      </w:r>
      <w:r w:rsidR="006842CE">
        <w:rPr>
          <w:rFonts w:asciiTheme="minorHAnsi" w:hAnsiTheme="minorHAnsi" w:cstheme="minorHAnsi"/>
          <w:szCs w:val="22"/>
        </w:rPr>
        <w:t>P</w:t>
      </w:r>
      <w:r w:rsidRPr="00A14F30">
        <w:rPr>
          <w:rFonts w:asciiTheme="minorHAnsi" w:hAnsiTheme="minorHAnsi" w:cstheme="minorHAnsi"/>
          <w:szCs w:val="22"/>
        </w:rPr>
        <w:t>ost illustration takes into account only historical data, the firm has to account for realised spikes and fluctuations in costs. However, since these data are historical, there are no ‘anticipated’ spikes.</w:t>
      </w:r>
    </w:p>
    <w:p w14:paraId="7F792A8B" w14:textId="7A0127E8" w:rsidR="00BF1805" w:rsidRDefault="00BF1805">
      <w:pPr>
        <w:spacing w:after="160" w:line="259" w:lineRule="auto"/>
        <w:ind w:left="0"/>
        <w:rPr>
          <w:rFonts w:asciiTheme="minorHAnsi" w:hAnsiTheme="minorHAnsi"/>
          <w:szCs w:val="22"/>
        </w:rPr>
      </w:pPr>
      <w:r>
        <w:rPr>
          <w:rFonts w:asciiTheme="minorHAnsi" w:hAnsiTheme="minorHAnsi"/>
          <w:szCs w:val="22"/>
        </w:rPr>
        <w:br w:type="page"/>
      </w:r>
    </w:p>
    <w:p w14:paraId="1964F22F" w14:textId="77777777" w:rsidR="00EE3219" w:rsidRPr="00A14F30" w:rsidRDefault="00EE3219" w:rsidP="00A14F30">
      <w:pPr>
        <w:jc w:val="both"/>
        <w:rPr>
          <w:rFonts w:asciiTheme="minorHAnsi" w:hAnsiTheme="minorHAnsi"/>
          <w:szCs w:val="22"/>
        </w:rPr>
      </w:pPr>
    </w:p>
    <w:p w14:paraId="0C77F1E5" w14:textId="431BC235" w:rsidR="007D16BB" w:rsidRPr="00F4412D" w:rsidRDefault="006842CE" w:rsidP="00F4412D">
      <w:pPr>
        <w:pStyle w:val="Heading1"/>
        <w:rPr>
          <w:rFonts w:asciiTheme="minorHAnsi" w:hAnsiTheme="minorHAnsi"/>
          <w:b/>
          <w:bCs/>
          <w:color w:val="auto"/>
          <w:sz w:val="28"/>
          <w:szCs w:val="28"/>
        </w:rPr>
      </w:pPr>
      <w:bookmarkStart w:id="692" w:name="_Toc364001922"/>
      <w:bookmarkStart w:id="693" w:name="_Toc364343179"/>
      <w:bookmarkStart w:id="694" w:name="_Toc364343365"/>
      <w:bookmarkStart w:id="695" w:name="_Toc364343725"/>
      <w:bookmarkStart w:id="696" w:name="_Toc364635790"/>
      <w:bookmarkStart w:id="697" w:name="_Toc364636182"/>
      <w:bookmarkStart w:id="698" w:name="_Toc364636618"/>
      <w:bookmarkStart w:id="699" w:name="_Toc366502112"/>
      <w:bookmarkStart w:id="700" w:name="_Toc369907893"/>
      <w:bookmarkStart w:id="701" w:name="_Toc370052410"/>
      <w:bookmarkStart w:id="702" w:name="_Toc372234558"/>
      <w:bookmarkStart w:id="703" w:name="_Toc395871086"/>
      <w:bookmarkStart w:id="704" w:name="_Toc409468253"/>
      <w:r>
        <w:rPr>
          <w:rFonts w:asciiTheme="minorHAnsi" w:hAnsiTheme="minorHAnsi"/>
          <w:b/>
          <w:bCs/>
          <w:color w:val="auto"/>
          <w:sz w:val="28"/>
          <w:szCs w:val="28"/>
        </w:rPr>
        <w:t>European MIFID Template (</w:t>
      </w:r>
      <w:r w:rsidR="007D16BB" w:rsidRPr="00F4412D">
        <w:rPr>
          <w:rFonts w:asciiTheme="minorHAnsi" w:hAnsiTheme="minorHAnsi"/>
          <w:b/>
          <w:bCs/>
          <w:color w:val="auto"/>
          <w:sz w:val="28"/>
          <w:szCs w:val="28"/>
        </w:rPr>
        <w:t>EMT</w:t>
      </w:r>
      <w:bookmarkEnd w:id="692"/>
      <w:bookmarkEnd w:id="693"/>
      <w:bookmarkEnd w:id="694"/>
      <w:bookmarkEnd w:id="695"/>
      <w:bookmarkEnd w:id="696"/>
      <w:bookmarkEnd w:id="697"/>
      <w:bookmarkEnd w:id="698"/>
      <w:bookmarkEnd w:id="699"/>
      <w:r>
        <w:rPr>
          <w:rFonts w:asciiTheme="minorHAnsi" w:hAnsiTheme="minorHAnsi"/>
          <w:b/>
          <w:bCs/>
          <w:color w:val="auto"/>
          <w:sz w:val="28"/>
          <w:szCs w:val="28"/>
        </w:rPr>
        <w:t>)</w:t>
      </w:r>
      <w:bookmarkEnd w:id="700"/>
      <w:bookmarkEnd w:id="701"/>
      <w:bookmarkEnd w:id="702"/>
      <w:bookmarkEnd w:id="703"/>
      <w:bookmarkEnd w:id="704"/>
    </w:p>
    <w:p w14:paraId="3561268F" w14:textId="77777777" w:rsidR="007D16BB" w:rsidRPr="00A14F30" w:rsidRDefault="007D16BB" w:rsidP="00A14F30">
      <w:pPr>
        <w:jc w:val="both"/>
        <w:rPr>
          <w:rFonts w:asciiTheme="minorHAnsi" w:hAnsiTheme="minorHAnsi"/>
          <w:szCs w:val="22"/>
        </w:rPr>
      </w:pPr>
    </w:p>
    <w:p w14:paraId="1338710E" w14:textId="77777777" w:rsidR="00866CF6" w:rsidRDefault="00866CF6" w:rsidP="001F5422">
      <w:pPr>
        <w:pStyle w:val="Heading2"/>
      </w:pPr>
      <w:bookmarkStart w:id="705" w:name="_Toc409468254"/>
      <w:r>
        <w:t>About the EMT</w:t>
      </w:r>
      <w:bookmarkEnd w:id="705"/>
    </w:p>
    <w:p w14:paraId="31FB8CD5" w14:textId="77777777" w:rsidR="00866CF6" w:rsidRDefault="00866CF6" w:rsidP="007D53AC">
      <w:pPr>
        <w:spacing w:line="276" w:lineRule="auto"/>
        <w:jc w:val="both"/>
        <w:rPr>
          <w:rFonts w:asciiTheme="minorHAnsi" w:hAnsiTheme="minorHAnsi"/>
          <w:szCs w:val="22"/>
        </w:rPr>
      </w:pPr>
    </w:p>
    <w:p w14:paraId="7F9BBD93" w14:textId="7755CF38" w:rsidR="007D16BB" w:rsidRDefault="007D16BB" w:rsidP="007D53AC">
      <w:pPr>
        <w:spacing w:line="276" w:lineRule="auto"/>
        <w:jc w:val="both"/>
        <w:rPr>
          <w:rFonts w:asciiTheme="minorHAnsi" w:hAnsiTheme="minorHAnsi"/>
          <w:szCs w:val="22"/>
        </w:rPr>
      </w:pPr>
      <w:r w:rsidRPr="00A14F30">
        <w:rPr>
          <w:rFonts w:asciiTheme="minorHAnsi" w:hAnsiTheme="minorHAnsi"/>
          <w:szCs w:val="22"/>
        </w:rPr>
        <w:t xml:space="preserve">The requirements for distributors to disclose to their clients, detailed </w:t>
      </w:r>
      <w:r w:rsidR="00BF1805">
        <w:rPr>
          <w:rFonts w:asciiTheme="minorHAnsi" w:hAnsiTheme="minorHAnsi"/>
          <w:szCs w:val="22"/>
        </w:rPr>
        <w:t>E</w:t>
      </w:r>
      <w:r w:rsidRPr="00A14F30">
        <w:rPr>
          <w:rFonts w:asciiTheme="minorHAnsi" w:hAnsiTheme="minorHAnsi"/>
          <w:szCs w:val="22"/>
        </w:rPr>
        <w:t>x-</w:t>
      </w:r>
      <w:r w:rsidR="00BF1805">
        <w:rPr>
          <w:rFonts w:asciiTheme="minorHAnsi" w:hAnsiTheme="minorHAnsi"/>
          <w:szCs w:val="22"/>
        </w:rPr>
        <w:t>A</w:t>
      </w:r>
      <w:r w:rsidRPr="00A14F30">
        <w:rPr>
          <w:rFonts w:asciiTheme="minorHAnsi" w:hAnsiTheme="minorHAnsi"/>
          <w:szCs w:val="22"/>
        </w:rPr>
        <w:t xml:space="preserve">nte and </w:t>
      </w:r>
      <w:r w:rsidR="00BF1805">
        <w:rPr>
          <w:rFonts w:asciiTheme="minorHAnsi" w:hAnsiTheme="minorHAnsi"/>
          <w:szCs w:val="22"/>
        </w:rPr>
        <w:t>E</w:t>
      </w:r>
      <w:r w:rsidRPr="00A14F30">
        <w:rPr>
          <w:rFonts w:asciiTheme="minorHAnsi" w:hAnsiTheme="minorHAnsi"/>
          <w:szCs w:val="22"/>
        </w:rPr>
        <w:t>x-</w:t>
      </w:r>
      <w:r w:rsidR="00BF1805">
        <w:rPr>
          <w:rFonts w:asciiTheme="minorHAnsi" w:hAnsiTheme="minorHAnsi"/>
          <w:szCs w:val="22"/>
        </w:rPr>
        <w:t>P</w:t>
      </w:r>
      <w:r w:rsidRPr="00A14F30">
        <w:rPr>
          <w:rFonts w:asciiTheme="minorHAnsi" w:hAnsiTheme="minorHAnsi"/>
          <w:szCs w:val="22"/>
        </w:rPr>
        <w:t xml:space="preserve">ost illustrations, raises new challenges for the flow of information across the entire distribution chain. Many of the costs that need to be reported, will not be readily available to the end distributor. In such cases, the distributor will need to ensure that they coordinate with the product </w:t>
      </w:r>
      <w:r w:rsidR="00187142" w:rsidRPr="00A14F30">
        <w:rPr>
          <w:rFonts w:asciiTheme="minorHAnsi" w:hAnsiTheme="minorHAnsi"/>
          <w:szCs w:val="22"/>
        </w:rPr>
        <w:t>manufacturer;</w:t>
      </w:r>
      <w:r w:rsidRPr="00A14F30">
        <w:rPr>
          <w:rFonts w:asciiTheme="minorHAnsi" w:hAnsiTheme="minorHAnsi"/>
          <w:szCs w:val="22"/>
        </w:rPr>
        <w:t xml:space="preserve"> to source any outstanding product related costs. This requirement is clearly indicated by </w:t>
      </w:r>
      <w:r w:rsidR="00BF1805">
        <w:rPr>
          <w:rFonts w:asciiTheme="minorHAnsi" w:hAnsiTheme="minorHAnsi"/>
          <w:szCs w:val="22"/>
        </w:rPr>
        <w:t xml:space="preserve">the </w:t>
      </w:r>
      <w:r w:rsidRPr="00A14F30">
        <w:rPr>
          <w:rFonts w:asciiTheme="minorHAnsi" w:hAnsiTheme="minorHAnsi"/>
          <w:szCs w:val="22"/>
        </w:rPr>
        <w:t xml:space="preserve">ESMA </w:t>
      </w:r>
      <w:r w:rsidR="00BF1805">
        <w:rPr>
          <w:rFonts w:asciiTheme="minorHAnsi" w:hAnsiTheme="minorHAnsi"/>
          <w:szCs w:val="22"/>
        </w:rPr>
        <w:t>I</w:t>
      </w:r>
      <w:r w:rsidR="00B20A6E">
        <w:rPr>
          <w:rFonts w:asciiTheme="minorHAnsi" w:hAnsiTheme="minorHAnsi"/>
          <w:szCs w:val="22"/>
        </w:rPr>
        <w:t xml:space="preserve">nvestor Protection </w:t>
      </w:r>
      <w:r w:rsidRPr="00A14F30">
        <w:rPr>
          <w:rFonts w:asciiTheme="minorHAnsi" w:hAnsiTheme="minorHAnsi"/>
          <w:szCs w:val="22"/>
        </w:rPr>
        <w:t xml:space="preserve">Q&amp;As. </w:t>
      </w:r>
    </w:p>
    <w:p w14:paraId="76638E57" w14:textId="77777777" w:rsidR="000F0527" w:rsidRPr="00A14F30" w:rsidRDefault="000F0527" w:rsidP="007D53AC">
      <w:pPr>
        <w:spacing w:line="276" w:lineRule="auto"/>
        <w:jc w:val="both"/>
        <w:rPr>
          <w:rFonts w:asciiTheme="minorHAnsi" w:hAnsiTheme="minorHAnsi"/>
          <w:szCs w:val="22"/>
        </w:rPr>
      </w:pPr>
    </w:p>
    <w:p w14:paraId="14C4A7C4" w14:textId="77777777" w:rsidR="007D16BB" w:rsidRDefault="007D16BB" w:rsidP="007D53AC">
      <w:pPr>
        <w:spacing w:line="276" w:lineRule="auto"/>
        <w:jc w:val="both"/>
        <w:rPr>
          <w:rFonts w:asciiTheme="minorHAnsi" w:hAnsiTheme="minorHAnsi"/>
          <w:i/>
        </w:rPr>
      </w:pPr>
      <w:r w:rsidRPr="007D53AC">
        <w:rPr>
          <w:rFonts w:asciiTheme="minorHAnsi" w:hAnsiTheme="minorHAnsi"/>
          <w:i/>
        </w:rPr>
        <w:t>Q - “How does the investment firm obtain access to the relevant data for a financial instrument…?”</w:t>
      </w:r>
    </w:p>
    <w:p w14:paraId="00364974" w14:textId="77777777" w:rsidR="00BF1805" w:rsidRPr="007D53AC" w:rsidRDefault="00BF1805" w:rsidP="007D53AC">
      <w:pPr>
        <w:spacing w:line="276" w:lineRule="auto"/>
        <w:jc w:val="both"/>
        <w:rPr>
          <w:rFonts w:asciiTheme="minorHAnsi" w:hAnsiTheme="minorHAnsi"/>
          <w:i/>
        </w:rPr>
      </w:pPr>
    </w:p>
    <w:p w14:paraId="5764CB51" w14:textId="77777777" w:rsidR="007D16BB" w:rsidRPr="00A14F30" w:rsidRDefault="007D16BB" w:rsidP="007D53AC">
      <w:pPr>
        <w:spacing w:line="276" w:lineRule="auto"/>
        <w:jc w:val="both"/>
        <w:rPr>
          <w:rFonts w:asciiTheme="minorHAnsi" w:hAnsiTheme="minorHAnsi"/>
        </w:rPr>
      </w:pPr>
      <w:r w:rsidRPr="00A14F30">
        <w:rPr>
          <w:rFonts w:asciiTheme="minorHAnsi" w:hAnsiTheme="minorHAnsi"/>
        </w:rPr>
        <w:t>A “...The investment firm would be expected to liaise with the manufacturer of these instruments to obtain the relevant data, if the data has not already been made publicly available…”</w:t>
      </w:r>
      <w:r w:rsidRPr="00A14F30">
        <w:rPr>
          <w:rStyle w:val="EndnoteReference"/>
          <w:rFonts w:asciiTheme="minorHAnsi" w:hAnsiTheme="minorHAnsi"/>
        </w:rPr>
        <w:endnoteReference w:id="2"/>
      </w:r>
    </w:p>
    <w:p w14:paraId="563FDFA5" w14:textId="77777777" w:rsidR="000F0527" w:rsidRDefault="000F0527" w:rsidP="007D53AC">
      <w:pPr>
        <w:spacing w:line="276" w:lineRule="auto"/>
        <w:jc w:val="both"/>
        <w:rPr>
          <w:rFonts w:asciiTheme="minorHAnsi" w:hAnsiTheme="minorHAnsi"/>
        </w:rPr>
      </w:pPr>
    </w:p>
    <w:p w14:paraId="50D8B658" w14:textId="15447B46" w:rsidR="007D16BB" w:rsidRPr="00A14F30" w:rsidRDefault="007D16BB" w:rsidP="007D53AC">
      <w:pPr>
        <w:spacing w:line="276" w:lineRule="auto"/>
        <w:jc w:val="both"/>
        <w:rPr>
          <w:rFonts w:asciiTheme="minorHAnsi" w:hAnsiTheme="minorHAnsi"/>
        </w:rPr>
      </w:pPr>
      <w:r w:rsidRPr="00A14F30">
        <w:rPr>
          <w:rFonts w:asciiTheme="minorHAnsi" w:hAnsiTheme="minorHAnsi"/>
        </w:rPr>
        <w:t xml:space="preserve">To standardise the flow of such information, the EMT has been created. This template is the culmination of inputs from various trade bodies, product manufacturers and distributors, from across Europe. The template looks to normalise the exchange of both target market and cost and charges data, between the product manufacturer and end distributor, by dictating the naming, formatting and codification of the fields that need to be provided. Such standardisation is crucial for producing consistent, machine-readable files. This in turn, allows distributors to anticipate the data being provided and develop their systems accordingly. </w:t>
      </w:r>
    </w:p>
    <w:p w14:paraId="24D83898" w14:textId="77777777" w:rsidR="007D16BB" w:rsidRPr="00A14F30" w:rsidRDefault="007D16BB" w:rsidP="007D53AC">
      <w:pPr>
        <w:spacing w:line="276" w:lineRule="auto"/>
        <w:jc w:val="both"/>
        <w:rPr>
          <w:rFonts w:asciiTheme="minorHAnsi" w:hAnsiTheme="minorHAnsi"/>
        </w:rPr>
      </w:pPr>
    </w:p>
    <w:p w14:paraId="15FFE4E8" w14:textId="544894B7" w:rsidR="007D16BB" w:rsidRPr="00A14F30" w:rsidRDefault="007D16BB" w:rsidP="007D53AC">
      <w:pPr>
        <w:spacing w:line="276" w:lineRule="auto"/>
        <w:jc w:val="both"/>
        <w:rPr>
          <w:rFonts w:asciiTheme="minorHAnsi" w:hAnsiTheme="minorHAnsi"/>
        </w:rPr>
      </w:pPr>
      <w:r w:rsidRPr="00A14F30">
        <w:rPr>
          <w:rFonts w:asciiTheme="minorHAnsi" w:hAnsiTheme="minorHAnsi"/>
        </w:rPr>
        <w:t xml:space="preserve">The EMT requires the provision of product related costs, for the calculation on both an </w:t>
      </w:r>
      <w:r w:rsidR="00E4462C">
        <w:rPr>
          <w:rFonts w:asciiTheme="minorHAnsi" w:hAnsiTheme="minorHAnsi"/>
        </w:rPr>
        <w:t>E</w:t>
      </w:r>
      <w:r w:rsidRPr="00A14F30">
        <w:rPr>
          <w:rFonts w:asciiTheme="minorHAnsi" w:hAnsiTheme="minorHAnsi"/>
        </w:rPr>
        <w:t>x-</w:t>
      </w:r>
      <w:r w:rsidR="00E4462C">
        <w:rPr>
          <w:rFonts w:asciiTheme="minorHAnsi" w:hAnsiTheme="minorHAnsi"/>
        </w:rPr>
        <w:t>A</w:t>
      </w:r>
      <w:r w:rsidRPr="00A14F30">
        <w:rPr>
          <w:rFonts w:asciiTheme="minorHAnsi" w:hAnsiTheme="minorHAnsi"/>
        </w:rPr>
        <w:t xml:space="preserve">nte </w:t>
      </w:r>
      <w:r w:rsidR="006842CE">
        <w:rPr>
          <w:rFonts w:asciiTheme="minorHAnsi" w:hAnsiTheme="minorHAnsi"/>
        </w:rPr>
        <w:t>and</w:t>
      </w:r>
      <w:r w:rsidR="006842CE" w:rsidRPr="00A14F30">
        <w:rPr>
          <w:rFonts w:asciiTheme="minorHAnsi" w:hAnsiTheme="minorHAnsi"/>
        </w:rPr>
        <w:t xml:space="preserve"> </w:t>
      </w:r>
      <w:r w:rsidR="00E4462C">
        <w:rPr>
          <w:rFonts w:asciiTheme="minorHAnsi" w:hAnsiTheme="minorHAnsi"/>
        </w:rPr>
        <w:t>E</w:t>
      </w:r>
      <w:r w:rsidRPr="00A14F30">
        <w:rPr>
          <w:rFonts w:asciiTheme="minorHAnsi" w:hAnsiTheme="minorHAnsi"/>
        </w:rPr>
        <w:t>x-</w:t>
      </w:r>
      <w:r w:rsidR="00E4462C">
        <w:rPr>
          <w:rFonts w:asciiTheme="minorHAnsi" w:hAnsiTheme="minorHAnsi"/>
        </w:rPr>
        <w:t>P</w:t>
      </w:r>
      <w:r w:rsidRPr="00A14F30">
        <w:rPr>
          <w:rFonts w:asciiTheme="minorHAnsi" w:hAnsiTheme="minorHAnsi"/>
        </w:rPr>
        <w:t xml:space="preserve">ost basis. Each cost field is labelled with a prefixed containing either “one-off”, “ongoing”, “transaction” or “incidental”. These categories are consistent with the product costs buckets, laid out within the annexes to the commission delegated regulation and can be used should a client request a granular breakdown of costs and charges. A distributor should use the product costs, from within the EMT, as a basis for their reporting. These should then be combined, with their own service level costs. </w:t>
      </w:r>
    </w:p>
    <w:p w14:paraId="14FD48EA" w14:textId="77777777" w:rsidR="007D16BB" w:rsidRPr="00A14F30" w:rsidRDefault="007D16BB" w:rsidP="007D53AC">
      <w:pPr>
        <w:spacing w:line="276" w:lineRule="auto"/>
        <w:jc w:val="both"/>
        <w:rPr>
          <w:rFonts w:asciiTheme="minorHAnsi" w:hAnsiTheme="minorHAnsi"/>
        </w:rPr>
      </w:pPr>
    </w:p>
    <w:p w14:paraId="53E2E810" w14:textId="26E5C097" w:rsidR="007D16BB" w:rsidRDefault="007D16BB" w:rsidP="007D53AC">
      <w:pPr>
        <w:spacing w:line="276" w:lineRule="auto"/>
        <w:jc w:val="both"/>
        <w:rPr>
          <w:rFonts w:asciiTheme="minorHAnsi" w:hAnsiTheme="minorHAnsi"/>
        </w:rPr>
      </w:pPr>
      <w:r w:rsidRPr="00A14F30">
        <w:rPr>
          <w:rFonts w:asciiTheme="minorHAnsi" w:hAnsiTheme="minorHAnsi"/>
        </w:rPr>
        <w:t xml:space="preserve">TISA recognises the need for a consistent approach to the exchange of </w:t>
      </w:r>
      <w:r w:rsidR="00CC523E">
        <w:rPr>
          <w:rFonts w:asciiTheme="minorHAnsi" w:hAnsiTheme="minorHAnsi"/>
        </w:rPr>
        <w:t>MiFID</w:t>
      </w:r>
      <w:r w:rsidRPr="00A14F30">
        <w:rPr>
          <w:rFonts w:asciiTheme="minorHAnsi" w:hAnsiTheme="minorHAnsi"/>
        </w:rPr>
        <w:t xml:space="preserve"> costs and charges data and encourages its members to adopt the standard laid out within the EMT. Product manufacturers should make the EMT available to their distributors. Should the end distribution point of their product be unknown, they should pass this to the first known point within their distributor chain.  TISA also encourages</w:t>
      </w:r>
      <w:r w:rsidR="00004EBB">
        <w:rPr>
          <w:rFonts w:asciiTheme="minorHAnsi" w:hAnsiTheme="minorHAnsi"/>
        </w:rPr>
        <w:t xml:space="preserve"> product</w:t>
      </w:r>
      <w:r w:rsidRPr="00A14F30">
        <w:rPr>
          <w:rFonts w:asciiTheme="minorHAnsi" w:hAnsiTheme="minorHAnsi"/>
        </w:rPr>
        <w:t xml:space="preserve"> manufacturer</w:t>
      </w:r>
      <w:r w:rsidR="00004EBB">
        <w:rPr>
          <w:rFonts w:asciiTheme="minorHAnsi" w:hAnsiTheme="minorHAnsi"/>
        </w:rPr>
        <w:t>s</w:t>
      </w:r>
      <w:r w:rsidRPr="00A14F30">
        <w:rPr>
          <w:rFonts w:asciiTheme="minorHAnsi" w:hAnsiTheme="minorHAnsi"/>
        </w:rPr>
        <w:t xml:space="preserve"> to make </w:t>
      </w:r>
      <w:r w:rsidRPr="00A14F30">
        <w:rPr>
          <w:rFonts w:asciiTheme="minorHAnsi" w:hAnsiTheme="minorHAnsi"/>
        </w:rPr>
        <w:lastRenderedPageBreak/>
        <w:t xml:space="preserve">the EMT available to market data vendors. This will develop the centralisation of </w:t>
      </w:r>
      <w:r w:rsidR="00CC523E">
        <w:rPr>
          <w:rFonts w:asciiTheme="minorHAnsi" w:hAnsiTheme="minorHAnsi"/>
        </w:rPr>
        <w:t>MiFID</w:t>
      </w:r>
      <w:r w:rsidRPr="00A14F30">
        <w:rPr>
          <w:rFonts w:asciiTheme="minorHAnsi" w:hAnsiTheme="minorHAnsi"/>
        </w:rPr>
        <w:t xml:space="preserve"> costs and charges data, making it more accessible to the end distributors.  </w:t>
      </w:r>
    </w:p>
    <w:p w14:paraId="6F6B7437" w14:textId="77777777" w:rsidR="00866CF6" w:rsidRDefault="00866CF6" w:rsidP="007D53AC">
      <w:pPr>
        <w:spacing w:line="276" w:lineRule="auto"/>
        <w:jc w:val="both"/>
        <w:rPr>
          <w:rFonts w:asciiTheme="minorHAnsi" w:hAnsiTheme="minorHAnsi"/>
        </w:rPr>
      </w:pPr>
    </w:p>
    <w:p w14:paraId="759B454E" w14:textId="77777777" w:rsidR="00866CF6" w:rsidRDefault="00866CF6" w:rsidP="001F5422">
      <w:pPr>
        <w:pStyle w:val="Heading2"/>
      </w:pPr>
      <w:bookmarkStart w:id="706" w:name="_Toc409468255"/>
      <w:r>
        <w:t>Completing the Ex post section of EMT</w:t>
      </w:r>
      <w:bookmarkEnd w:id="706"/>
    </w:p>
    <w:p w14:paraId="0FF7099C" w14:textId="77777777" w:rsidR="00866CF6" w:rsidRDefault="00866CF6" w:rsidP="007D53AC">
      <w:pPr>
        <w:spacing w:line="276" w:lineRule="auto"/>
        <w:jc w:val="both"/>
        <w:rPr>
          <w:rFonts w:asciiTheme="minorHAnsi" w:hAnsiTheme="minorHAnsi"/>
        </w:rPr>
      </w:pPr>
    </w:p>
    <w:p w14:paraId="4B169DFC" w14:textId="77777777" w:rsidR="00C3150F" w:rsidRPr="00C3150F" w:rsidRDefault="00C3150F" w:rsidP="00C3150F">
      <w:pPr>
        <w:tabs>
          <w:tab w:val="left" w:pos="709"/>
        </w:tabs>
        <w:ind w:left="709"/>
        <w:rPr>
          <w:rFonts w:ascii="Times New Roman" w:hAnsi="Times New Roman"/>
          <w:sz w:val="20"/>
          <w:lang w:val="en-GB"/>
        </w:rPr>
      </w:pPr>
      <w:r w:rsidRPr="00C3150F">
        <w:rPr>
          <w:rFonts w:ascii="Calibri" w:hAnsi="Calibri"/>
          <w:color w:val="1F497D"/>
          <w:szCs w:val="22"/>
          <w:shd w:val="clear" w:color="auto" w:fill="FFFFFF"/>
          <w:lang w:val="en-GB"/>
        </w:rPr>
        <w:t>In order to help firms with completing the Ex-Post section of the EMT v1 a group  of asset managers and distributors came together to suggest a best practice approach – referred to as the “Blackfriars Analysis” we have reproduced the analysis they published below</w:t>
      </w:r>
    </w:p>
    <w:p w14:paraId="1A569A07" w14:textId="77777777" w:rsidR="00866CF6" w:rsidRDefault="00866CF6" w:rsidP="00C3150F">
      <w:pPr>
        <w:spacing w:line="276" w:lineRule="auto"/>
        <w:ind w:left="709"/>
        <w:jc w:val="both"/>
        <w:rPr>
          <w:rFonts w:asciiTheme="minorHAnsi" w:hAnsiTheme="minorHAnsi"/>
        </w:rPr>
      </w:pPr>
    </w:p>
    <w:p w14:paraId="5D3B185F" w14:textId="77777777" w:rsidR="00866CF6" w:rsidRPr="001F5422" w:rsidRDefault="00866CF6" w:rsidP="001F5422">
      <w:pPr>
        <w:pStyle w:val="Heading3"/>
        <w:ind w:left="709" w:hanging="709"/>
        <w:rPr>
          <w:rFonts w:asciiTheme="minorHAnsi" w:hAnsiTheme="minorHAnsi"/>
          <w:sz w:val="24"/>
          <w:szCs w:val="24"/>
        </w:rPr>
      </w:pPr>
      <w:bookmarkStart w:id="707" w:name="_Toc409468256"/>
      <w:r w:rsidRPr="001F5422">
        <w:rPr>
          <w:rFonts w:asciiTheme="minorHAnsi" w:hAnsiTheme="minorHAnsi"/>
          <w:sz w:val="24"/>
          <w:szCs w:val="24"/>
        </w:rPr>
        <w:t>Introduction</w:t>
      </w:r>
      <w:bookmarkEnd w:id="707"/>
    </w:p>
    <w:p w14:paraId="3DB7B2D3" w14:textId="77777777" w:rsidR="00C3150F" w:rsidRDefault="00C3150F" w:rsidP="00866CF6">
      <w:pPr>
        <w:rPr>
          <w:rFonts w:asciiTheme="minorHAnsi" w:hAnsiTheme="minorHAnsi"/>
          <w:szCs w:val="22"/>
        </w:rPr>
      </w:pPr>
    </w:p>
    <w:p w14:paraId="3F22ED26" w14:textId="77777777" w:rsidR="00866CF6" w:rsidRPr="001F5422" w:rsidRDefault="00866CF6" w:rsidP="00866CF6">
      <w:pPr>
        <w:rPr>
          <w:rFonts w:asciiTheme="minorHAnsi" w:hAnsiTheme="minorHAnsi"/>
          <w:szCs w:val="22"/>
        </w:rPr>
      </w:pPr>
      <w:r w:rsidRPr="001F5422">
        <w:rPr>
          <w:rFonts w:asciiTheme="minorHAnsi" w:hAnsiTheme="minorHAnsi"/>
          <w:szCs w:val="22"/>
        </w:rPr>
        <w:t>This analysis and suggested practice focuses on the preferred methodologies for use in completing the Ex-post section of the EMT v1.  The group that have authored this document came together in an effort to bring some clarity to the output of various industry discussions where a proliferation of different standards and methodologies were being considered by manufacturers who remained genuinely confused as to how they should populate their EMT as a result of a lack of consensus in the various EWG meetings.</w:t>
      </w:r>
    </w:p>
    <w:p w14:paraId="39F08F37" w14:textId="77777777" w:rsidR="00866CF6" w:rsidRPr="001F5422" w:rsidRDefault="00866CF6" w:rsidP="00866CF6">
      <w:pPr>
        <w:rPr>
          <w:rFonts w:asciiTheme="minorHAnsi" w:hAnsiTheme="minorHAnsi"/>
          <w:szCs w:val="22"/>
        </w:rPr>
      </w:pPr>
      <w:r w:rsidRPr="001F5422">
        <w:rPr>
          <w:rFonts w:asciiTheme="minorHAnsi" w:hAnsiTheme="minorHAnsi"/>
          <w:szCs w:val="22"/>
        </w:rPr>
        <w:t xml:space="preserve">This is particularly challenging for firms who distribute cross border into multiple different jurisdictions, particularly given the current lack of consensus across Europe in the area of cost disclosure </w:t>
      </w:r>
    </w:p>
    <w:p w14:paraId="5CB30499" w14:textId="77777777" w:rsidR="00866CF6" w:rsidRPr="001F5422" w:rsidRDefault="00866CF6" w:rsidP="00866CF6">
      <w:pPr>
        <w:rPr>
          <w:rFonts w:asciiTheme="minorHAnsi" w:hAnsiTheme="minorHAnsi"/>
          <w:szCs w:val="22"/>
        </w:rPr>
      </w:pPr>
      <w:r w:rsidRPr="001F5422">
        <w:rPr>
          <w:rFonts w:asciiTheme="minorHAnsi" w:hAnsiTheme="minorHAnsi"/>
          <w:szCs w:val="22"/>
        </w:rPr>
        <w:t>Paramount was the concern that without something approaching an industry standard, the counterparties that rely on this data would receive multiple versions of the truth, all following different methodologies, reducing the effectiveness of the EMT and removing the benefits that this ubiquitous template brings to all involved.</w:t>
      </w:r>
    </w:p>
    <w:p w14:paraId="5AC456B2" w14:textId="77777777" w:rsidR="00866CF6" w:rsidRPr="001F5422" w:rsidRDefault="00866CF6" w:rsidP="00866CF6">
      <w:pPr>
        <w:rPr>
          <w:rFonts w:asciiTheme="minorHAnsi" w:hAnsiTheme="minorHAnsi"/>
          <w:szCs w:val="22"/>
        </w:rPr>
      </w:pPr>
      <w:r w:rsidRPr="001F5422">
        <w:rPr>
          <w:rFonts w:asciiTheme="minorHAnsi" w:hAnsiTheme="minorHAnsi"/>
          <w:szCs w:val="22"/>
        </w:rPr>
        <w:t>In undertaking our analysis we considered that most manufacturers would create an EMT on either a monthly or quarterly basis</w:t>
      </w:r>
      <w:r w:rsidRPr="001F5422">
        <w:rPr>
          <w:rFonts w:asciiTheme="minorHAnsi" w:hAnsiTheme="minorHAnsi"/>
          <w:color w:val="5B9BD5" w:themeColor="accent1"/>
          <w:szCs w:val="22"/>
        </w:rPr>
        <w:t xml:space="preserve">.  </w:t>
      </w:r>
      <w:r w:rsidRPr="001F5422">
        <w:rPr>
          <w:rFonts w:asciiTheme="minorHAnsi" w:hAnsiTheme="minorHAnsi"/>
          <w:szCs w:val="22"/>
        </w:rPr>
        <w:t>However we are also aware that in some jurisdictions the local regulator has agreed that figures can be based on the last audited set of fund data and only has to be refreshed annually.  Clearly for firms only distributing within a local market the overriding consideration will be the local code of practice.</w:t>
      </w:r>
    </w:p>
    <w:p w14:paraId="393EC0D5" w14:textId="77777777" w:rsidR="00866CF6" w:rsidRPr="001F5422" w:rsidRDefault="00866CF6" w:rsidP="00866CF6">
      <w:pPr>
        <w:rPr>
          <w:rFonts w:asciiTheme="minorHAnsi" w:hAnsiTheme="minorHAnsi"/>
          <w:szCs w:val="22"/>
        </w:rPr>
      </w:pPr>
      <w:r w:rsidRPr="001F5422">
        <w:rPr>
          <w:rFonts w:asciiTheme="minorHAnsi" w:hAnsiTheme="minorHAnsi"/>
          <w:szCs w:val="22"/>
        </w:rPr>
        <w:t>We also wanted to ensure that the data the EMT would carry was as accurate as reasonably possible whilst retaining the principal that “close is close enough”.  Again some local regulators have given clear views on this and so manufacturers only offering products within a local domestic market already have a set of standards to follow – where we are aware of these we have commented below.</w:t>
      </w:r>
    </w:p>
    <w:p w14:paraId="377880DF" w14:textId="77777777" w:rsidR="00866CF6" w:rsidRPr="001F5422" w:rsidRDefault="00866CF6" w:rsidP="00866CF6">
      <w:pPr>
        <w:rPr>
          <w:rFonts w:asciiTheme="minorHAnsi" w:hAnsiTheme="minorHAnsi"/>
          <w:szCs w:val="22"/>
        </w:rPr>
      </w:pPr>
      <w:r w:rsidRPr="001F5422">
        <w:rPr>
          <w:rFonts w:asciiTheme="minorHAnsi" w:hAnsiTheme="minorHAnsi"/>
          <w:szCs w:val="22"/>
        </w:rPr>
        <w:t>The group was particularly challenged in trying to create a suggested best practice by the constraints enforced by the Beginning/End date fields in the ex-post section of EMT v1 and their varying impact when applied to the different cost types listed in this area of the template, particularly when costs might vary over the period covered by these dates.</w:t>
      </w:r>
    </w:p>
    <w:p w14:paraId="24F4CE85" w14:textId="77777777" w:rsidR="00866CF6" w:rsidRPr="001F5422" w:rsidRDefault="00866CF6" w:rsidP="00866CF6">
      <w:pPr>
        <w:rPr>
          <w:rFonts w:asciiTheme="minorHAnsi" w:hAnsiTheme="minorHAnsi"/>
          <w:szCs w:val="22"/>
        </w:rPr>
      </w:pPr>
    </w:p>
    <w:p w14:paraId="5EA3802F" w14:textId="77777777" w:rsidR="00866CF6" w:rsidRPr="001F5422" w:rsidRDefault="00866CF6" w:rsidP="00C50267">
      <w:pPr>
        <w:pStyle w:val="ListParagraph"/>
        <w:numPr>
          <w:ilvl w:val="0"/>
          <w:numId w:val="89"/>
        </w:numPr>
        <w:spacing w:after="160" w:line="259" w:lineRule="auto"/>
        <w:ind w:left="709" w:hanging="270"/>
        <w:rPr>
          <w:rFonts w:asciiTheme="minorHAnsi" w:hAnsiTheme="minorHAnsi"/>
          <w:b/>
          <w:szCs w:val="22"/>
        </w:rPr>
      </w:pPr>
      <w:r w:rsidRPr="001F5422">
        <w:rPr>
          <w:rFonts w:asciiTheme="minorHAnsi" w:hAnsiTheme="minorHAnsi"/>
          <w:b/>
          <w:szCs w:val="22"/>
        </w:rPr>
        <w:t>Ongoing costs</w:t>
      </w:r>
    </w:p>
    <w:p w14:paraId="417969EF" w14:textId="77777777" w:rsidR="00866CF6" w:rsidRDefault="00866CF6" w:rsidP="00866CF6">
      <w:pPr>
        <w:rPr>
          <w:rFonts w:asciiTheme="minorHAnsi" w:hAnsiTheme="minorHAnsi"/>
          <w:szCs w:val="22"/>
        </w:rPr>
      </w:pPr>
      <w:r w:rsidRPr="001F5422">
        <w:rPr>
          <w:rFonts w:asciiTheme="minorHAnsi" w:hAnsiTheme="minorHAnsi"/>
          <w:szCs w:val="22"/>
        </w:rPr>
        <w:t>The majority of manufacturers are considering covering a 12 month period in their beginning/end date fields, however this has a particular impact in the very common current scenario of a fund or share-class changing its AMC during the period of the report.</w:t>
      </w:r>
    </w:p>
    <w:p w14:paraId="62B20F60" w14:textId="77777777" w:rsidR="00C50267" w:rsidRPr="001F5422" w:rsidRDefault="00C50267" w:rsidP="00866CF6">
      <w:pPr>
        <w:rPr>
          <w:rFonts w:asciiTheme="minorHAnsi" w:hAnsiTheme="minorHAnsi"/>
          <w:szCs w:val="22"/>
        </w:rPr>
      </w:pPr>
    </w:p>
    <w:p w14:paraId="69E1CE03"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 xml:space="preserve">Using a slightly exaggerated scenario, if a fund had an AMC of 1% at the start of a 12 month period and reduced it to 0.5% exactly half way through the period it would be inaccurate to use an average of 0.75% for the entire 12 months when using this data for any client that </w:t>
      </w:r>
      <w:r w:rsidRPr="001F5422">
        <w:rPr>
          <w:rFonts w:asciiTheme="minorHAnsi" w:hAnsiTheme="minorHAnsi"/>
          <w:szCs w:val="22"/>
        </w:rPr>
        <w:lastRenderedPageBreak/>
        <w:t>exited that particular fund during that time, with the inaccuracy at its most pronounced if the exit occurred shortly after the rate change.  Similarly if a client first invested in that fund as a result of the rate reduction it would also be very inaccurate to use the average rate of 0.75%.</w:t>
      </w:r>
    </w:p>
    <w:p w14:paraId="16A94147" w14:textId="77777777" w:rsidR="00866CF6" w:rsidRPr="001F5422" w:rsidRDefault="00866CF6" w:rsidP="00866CF6">
      <w:pPr>
        <w:pStyle w:val="ListParagraph"/>
        <w:ind w:left="360" w:firstLine="360"/>
        <w:rPr>
          <w:rFonts w:asciiTheme="minorHAnsi" w:hAnsiTheme="minorHAnsi"/>
          <w:szCs w:val="22"/>
        </w:rPr>
      </w:pPr>
    </w:p>
    <w:p w14:paraId="763A01C1"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 xml:space="preserve">Our conclusion was that the wider the date range used in the ex-post section the greater the level of inaccuracy, therefore we should limit the range to a month/quarter depending on the frequency of dispatch that the manufacturer deployed for its EMT. </w:t>
      </w:r>
    </w:p>
    <w:p w14:paraId="2A623576" w14:textId="77777777" w:rsidR="00866CF6" w:rsidRPr="001F5422" w:rsidRDefault="00866CF6" w:rsidP="00866CF6">
      <w:pPr>
        <w:pStyle w:val="ListParagraph"/>
        <w:rPr>
          <w:rFonts w:asciiTheme="minorHAnsi" w:hAnsiTheme="minorHAnsi"/>
          <w:szCs w:val="22"/>
        </w:rPr>
      </w:pPr>
    </w:p>
    <w:p w14:paraId="14A9BC86"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In calculating the appropriate AMC we had the following suggestions, bearing in mind the principal of “close is close enough” and that the way the EMT v1 is constructed means there is not a solution that allows a precisely accurate population of this field</w:t>
      </w:r>
    </w:p>
    <w:p w14:paraId="4EB20D30" w14:textId="77777777" w:rsidR="00866CF6" w:rsidRPr="001F5422" w:rsidRDefault="00866CF6" w:rsidP="00866CF6">
      <w:pPr>
        <w:pStyle w:val="ListParagraph"/>
        <w:numPr>
          <w:ilvl w:val="0"/>
          <w:numId w:val="87"/>
        </w:numPr>
        <w:spacing w:after="160" w:line="259" w:lineRule="auto"/>
        <w:ind w:left="1080"/>
        <w:rPr>
          <w:rFonts w:asciiTheme="minorHAnsi" w:hAnsiTheme="minorHAnsi"/>
          <w:szCs w:val="22"/>
        </w:rPr>
      </w:pPr>
      <w:r w:rsidRPr="001F5422">
        <w:rPr>
          <w:rFonts w:asciiTheme="minorHAnsi" w:hAnsiTheme="minorHAnsi"/>
          <w:szCs w:val="22"/>
        </w:rPr>
        <w:t>A daily average for the period should be used, particularly if the EMT is issued on a monthly basis, however we recognise that this could be challenging for firms to implement.</w:t>
      </w:r>
    </w:p>
    <w:p w14:paraId="1FB0C03C" w14:textId="77777777" w:rsidR="00866CF6" w:rsidRPr="001F5422" w:rsidRDefault="00866CF6" w:rsidP="00866CF6">
      <w:pPr>
        <w:pStyle w:val="ListParagraph"/>
        <w:numPr>
          <w:ilvl w:val="0"/>
          <w:numId w:val="87"/>
        </w:numPr>
        <w:spacing w:after="160" w:line="259" w:lineRule="auto"/>
        <w:ind w:left="1080"/>
        <w:rPr>
          <w:rFonts w:asciiTheme="minorHAnsi" w:hAnsiTheme="minorHAnsi"/>
          <w:szCs w:val="22"/>
        </w:rPr>
      </w:pPr>
      <w:r w:rsidRPr="001F5422">
        <w:rPr>
          <w:rFonts w:asciiTheme="minorHAnsi" w:hAnsiTheme="minorHAnsi"/>
          <w:szCs w:val="22"/>
        </w:rPr>
        <w:t>If the amendment occurs at or near the middle of the month/period a simple average of the old and new rate could be populated in this field</w:t>
      </w:r>
    </w:p>
    <w:p w14:paraId="5ACB7072" w14:textId="77777777" w:rsidR="00866CF6" w:rsidRPr="001F5422" w:rsidRDefault="00866CF6" w:rsidP="00866CF6">
      <w:pPr>
        <w:pStyle w:val="ListParagraph"/>
        <w:numPr>
          <w:ilvl w:val="0"/>
          <w:numId w:val="87"/>
        </w:numPr>
        <w:spacing w:after="160" w:line="259" w:lineRule="auto"/>
        <w:ind w:left="1080"/>
        <w:rPr>
          <w:rFonts w:asciiTheme="minorHAnsi" w:hAnsiTheme="minorHAnsi"/>
          <w:szCs w:val="22"/>
        </w:rPr>
      </w:pPr>
      <w:r w:rsidRPr="001F5422">
        <w:rPr>
          <w:rFonts w:asciiTheme="minorHAnsi" w:hAnsiTheme="minorHAnsi"/>
          <w:szCs w:val="22"/>
        </w:rPr>
        <w:t>If the amendment occurred towards the end of the month/period the old rate could be used at it would only be inaccurate for a small number of days</w:t>
      </w:r>
    </w:p>
    <w:p w14:paraId="49A5BD86" w14:textId="77777777" w:rsidR="00866CF6" w:rsidRPr="001F5422" w:rsidRDefault="00866CF6" w:rsidP="00866CF6">
      <w:pPr>
        <w:pStyle w:val="ListParagraph"/>
        <w:numPr>
          <w:ilvl w:val="0"/>
          <w:numId w:val="87"/>
        </w:numPr>
        <w:spacing w:after="160" w:line="259" w:lineRule="auto"/>
        <w:ind w:left="1080"/>
        <w:rPr>
          <w:rFonts w:asciiTheme="minorHAnsi" w:hAnsiTheme="minorHAnsi"/>
          <w:szCs w:val="22"/>
        </w:rPr>
      </w:pPr>
      <w:r w:rsidRPr="001F5422">
        <w:rPr>
          <w:rFonts w:asciiTheme="minorHAnsi" w:hAnsiTheme="minorHAnsi"/>
          <w:szCs w:val="22"/>
        </w:rPr>
        <w:t>If the amendment occurred near the start of the month then the new rate could be used, again as this would only be inaccurate for a small number of days</w:t>
      </w:r>
    </w:p>
    <w:p w14:paraId="76649E09" w14:textId="77777777" w:rsidR="00866CF6" w:rsidRPr="001F5422" w:rsidRDefault="00866CF6" w:rsidP="00866CF6">
      <w:pPr>
        <w:pStyle w:val="ListParagraph"/>
        <w:ind w:left="1080"/>
        <w:rPr>
          <w:rFonts w:asciiTheme="minorHAnsi" w:hAnsiTheme="minorHAnsi"/>
          <w:szCs w:val="22"/>
        </w:rPr>
      </w:pPr>
    </w:p>
    <w:p w14:paraId="0D0FAFBE"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To illustrate how this might work, using a scenario of an AMC change from 0.8% to 0.6% occurring on the 10</w:t>
      </w:r>
      <w:r w:rsidRPr="001F5422">
        <w:rPr>
          <w:rFonts w:asciiTheme="minorHAnsi" w:hAnsiTheme="minorHAnsi"/>
          <w:szCs w:val="22"/>
          <w:vertAlign w:val="superscript"/>
        </w:rPr>
        <w:t>th</w:t>
      </w:r>
      <w:r w:rsidRPr="001F5422">
        <w:rPr>
          <w:rFonts w:asciiTheme="minorHAnsi" w:hAnsiTheme="minorHAnsi"/>
          <w:szCs w:val="22"/>
        </w:rPr>
        <w:t xml:space="preserve"> July.</w:t>
      </w:r>
    </w:p>
    <w:p w14:paraId="2DD5B1DD" w14:textId="77777777" w:rsidR="00866CF6" w:rsidRPr="001F5422" w:rsidRDefault="00866CF6" w:rsidP="00866CF6">
      <w:pPr>
        <w:pStyle w:val="ListParagraph"/>
        <w:numPr>
          <w:ilvl w:val="0"/>
          <w:numId w:val="88"/>
        </w:numPr>
        <w:spacing w:after="160" w:line="259" w:lineRule="auto"/>
        <w:ind w:left="1080"/>
        <w:rPr>
          <w:rFonts w:asciiTheme="minorHAnsi" w:hAnsiTheme="minorHAnsi"/>
          <w:szCs w:val="22"/>
        </w:rPr>
      </w:pPr>
      <w:r w:rsidRPr="001F5422">
        <w:rPr>
          <w:rFonts w:asciiTheme="minorHAnsi" w:hAnsiTheme="minorHAnsi"/>
          <w:szCs w:val="22"/>
        </w:rPr>
        <w:t>In the 6 monthly EMTs published for January through to June, field 08050 would be populated with 0.8%</w:t>
      </w:r>
    </w:p>
    <w:p w14:paraId="7A153AB5" w14:textId="77777777" w:rsidR="00866CF6" w:rsidRPr="001F5422" w:rsidRDefault="00866CF6" w:rsidP="00866CF6">
      <w:pPr>
        <w:pStyle w:val="ListParagraph"/>
        <w:numPr>
          <w:ilvl w:val="0"/>
          <w:numId w:val="88"/>
        </w:numPr>
        <w:spacing w:after="160" w:line="259" w:lineRule="auto"/>
        <w:ind w:left="1080"/>
        <w:rPr>
          <w:rFonts w:asciiTheme="minorHAnsi" w:hAnsiTheme="minorHAnsi"/>
          <w:szCs w:val="22"/>
        </w:rPr>
      </w:pPr>
      <w:r w:rsidRPr="001F5422">
        <w:rPr>
          <w:rFonts w:asciiTheme="minorHAnsi" w:hAnsiTheme="minorHAnsi"/>
          <w:szCs w:val="22"/>
        </w:rPr>
        <w:t>In the EMT for July the figure would be amended using one of the options detailed above – if the daily average were used the figure would be 0.66% (or 0.658065 depending on how many d.p. are used).  If the simple average were used it would be 0.7%.</w:t>
      </w:r>
    </w:p>
    <w:p w14:paraId="1B7A2047" w14:textId="77777777" w:rsidR="00866CF6" w:rsidRPr="001F5422" w:rsidRDefault="00866CF6" w:rsidP="00866CF6">
      <w:pPr>
        <w:pStyle w:val="ListParagraph"/>
        <w:numPr>
          <w:ilvl w:val="0"/>
          <w:numId w:val="88"/>
        </w:numPr>
        <w:spacing w:after="160" w:line="259" w:lineRule="auto"/>
        <w:ind w:left="1080"/>
        <w:rPr>
          <w:rFonts w:asciiTheme="minorHAnsi" w:hAnsiTheme="minorHAnsi"/>
          <w:szCs w:val="22"/>
        </w:rPr>
      </w:pPr>
      <w:r w:rsidRPr="001F5422">
        <w:rPr>
          <w:rFonts w:asciiTheme="minorHAnsi" w:hAnsiTheme="minorHAnsi"/>
          <w:szCs w:val="22"/>
        </w:rPr>
        <w:t>In the EMTs for August through to December, field 08050 would be populated with 0.6%</w:t>
      </w:r>
    </w:p>
    <w:p w14:paraId="3734F446" w14:textId="77777777" w:rsidR="00866CF6" w:rsidRPr="001F5422" w:rsidRDefault="00866CF6" w:rsidP="00866CF6">
      <w:pPr>
        <w:pStyle w:val="ListParagraph"/>
        <w:numPr>
          <w:ilvl w:val="0"/>
          <w:numId w:val="88"/>
        </w:numPr>
        <w:spacing w:after="160" w:line="259" w:lineRule="auto"/>
        <w:ind w:left="1080"/>
        <w:rPr>
          <w:rFonts w:asciiTheme="minorHAnsi" w:hAnsiTheme="minorHAnsi"/>
          <w:szCs w:val="22"/>
        </w:rPr>
      </w:pPr>
      <w:r w:rsidRPr="001F5422">
        <w:rPr>
          <w:rFonts w:asciiTheme="minorHAnsi" w:hAnsiTheme="minorHAnsi"/>
          <w:szCs w:val="22"/>
        </w:rPr>
        <w:t>This rule would also apply to field 08030 covering Ongoing Costs in this scenario</w:t>
      </w:r>
    </w:p>
    <w:p w14:paraId="058BE8EA" w14:textId="77777777" w:rsidR="00866CF6" w:rsidRPr="001F5422" w:rsidRDefault="00866CF6" w:rsidP="00866CF6">
      <w:pPr>
        <w:pStyle w:val="ListParagraph"/>
        <w:ind w:left="1080"/>
        <w:rPr>
          <w:rFonts w:asciiTheme="minorHAnsi" w:hAnsiTheme="minorHAnsi"/>
          <w:szCs w:val="22"/>
        </w:rPr>
      </w:pPr>
    </w:p>
    <w:p w14:paraId="6373176C"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rPr>
        <w:t xml:space="preserve"> </w:t>
      </w:r>
      <w:r w:rsidRPr="001F5422">
        <w:rPr>
          <w:rFonts w:asciiTheme="minorHAnsi" w:hAnsiTheme="minorHAnsi"/>
          <w:i/>
          <w:szCs w:val="22"/>
          <w:u w:val="single"/>
        </w:rPr>
        <w:t xml:space="preserve">Use of data from Annual Reports:  </w:t>
      </w:r>
      <w:r w:rsidRPr="001F5422">
        <w:rPr>
          <w:rFonts w:asciiTheme="minorHAnsi" w:hAnsiTheme="minorHAnsi"/>
          <w:szCs w:val="22"/>
        </w:rPr>
        <w:t>We are aware that in some countries the regulator has made statements concerning the use of data from audited reports (in some circumstances this needs to be supplemented by the manufacturer for elements relevant under MiFID but not caught with the audited reporting methodology) for the following 12 month period.  Clearly where appropriate to firms and their distribution model these local practices could/should be followed – in this scenario a 12 month data range would be appropriate.  The biggest challenge in this area though remains the potential scenario of funds that reduced their AMC during the period, which could mean that the manufacturer has to consider an alternate methodology.</w:t>
      </w:r>
    </w:p>
    <w:p w14:paraId="51566FD6" w14:textId="77777777" w:rsidR="00866CF6" w:rsidRPr="001F5422" w:rsidRDefault="00866CF6" w:rsidP="00866CF6">
      <w:pPr>
        <w:pStyle w:val="ListParagraph"/>
        <w:ind w:left="1080"/>
        <w:rPr>
          <w:rFonts w:asciiTheme="minorHAnsi" w:hAnsiTheme="minorHAnsi"/>
          <w:szCs w:val="22"/>
        </w:rPr>
      </w:pPr>
    </w:p>
    <w:p w14:paraId="7C0D4A44"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t>Multiple EMTs:</w:t>
      </w:r>
      <w:r w:rsidRPr="001F5422">
        <w:rPr>
          <w:rFonts w:asciiTheme="minorHAnsi" w:hAnsiTheme="minorHAnsi"/>
          <w:szCs w:val="22"/>
        </w:rPr>
        <w:t xml:space="preserve"> In coming to these recommendations we also considered a range of other solutions including that firms could issue two EMTs in a month, adjusting the date fields to cater for the change in rate but we felt that this was problematic not just because the dates </w:t>
      </w:r>
      <w:r w:rsidRPr="001F5422">
        <w:rPr>
          <w:rFonts w:asciiTheme="minorHAnsi" w:hAnsiTheme="minorHAnsi"/>
          <w:szCs w:val="22"/>
        </w:rPr>
        <w:lastRenderedPageBreak/>
        <w:t>apply to all the costs in the ex-post section, but also given the practicalities of issuing and receiving multiple EMTs.</w:t>
      </w:r>
    </w:p>
    <w:p w14:paraId="24E717A1" w14:textId="77777777" w:rsidR="00866CF6" w:rsidRPr="001F5422" w:rsidRDefault="00866CF6" w:rsidP="00866CF6">
      <w:pPr>
        <w:pStyle w:val="ListParagraph"/>
        <w:rPr>
          <w:rFonts w:asciiTheme="minorHAnsi" w:hAnsiTheme="minorHAnsi"/>
          <w:i/>
          <w:szCs w:val="22"/>
          <w:u w:val="single"/>
        </w:rPr>
      </w:pPr>
    </w:p>
    <w:p w14:paraId="508237F4" w14:textId="77777777" w:rsidR="00866CF6" w:rsidRPr="001F5422" w:rsidRDefault="00866CF6" w:rsidP="00866CF6">
      <w:pPr>
        <w:pStyle w:val="ListParagraph"/>
        <w:rPr>
          <w:rFonts w:asciiTheme="minorHAnsi" w:hAnsiTheme="minorHAnsi"/>
          <w:szCs w:val="22"/>
        </w:rPr>
      </w:pPr>
      <w:r w:rsidRPr="001F5422">
        <w:rPr>
          <w:rFonts w:asciiTheme="minorHAnsi" w:hAnsiTheme="minorHAnsi"/>
          <w:szCs w:val="22"/>
        </w:rPr>
        <w:t>There was a great deal of debate on the topic of was it practical for manufacturers to issue two EMTs to cover this scenario.  The dates issue was one factor, if the ex-post section of the EMT carried dates from the start of the month to say the 13</w:t>
      </w:r>
      <w:r w:rsidRPr="001F5422">
        <w:rPr>
          <w:rFonts w:asciiTheme="minorHAnsi" w:hAnsiTheme="minorHAnsi"/>
          <w:szCs w:val="22"/>
          <w:vertAlign w:val="superscript"/>
        </w:rPr>
        <w:t>th</w:t>
      </w:r>
      <w:r w:rsidRPr="001F5422">
        <w:rPr>
          <w:rFonts w:asciiTheme="minorHAnsi" w:hAnsiTheme="minorHAnsi"/>
          <w:szCs w:val="22"/>
        </w:rPr>
        <w:t xml:space="preserve"> of the month what did it mean for the consumption of the other cost figures, with then a second EMT being release covering the 14</w:t>
      </w:r>
      <w:r w:rsidRPr="001F5422">
        <w:rPr>
          <w:rFonts w:asciiTheme="minorHAnsi" w:hAnsiTheme="minorHAnsi"/>
          <w:szCs w:val="22"/>
          <w:vertAlign w:val="superscript"/>
        </w:rPr>
        <w:t>th</w:t>
      </w:r>
      <w:r w:rsidRPr="001F5422">
        <w:rPr>
          <w:rFonts w:asciiTheme="minorHAnsi" w:hAnsiTheme="minorHAnsi"/>
          <w:szCs w:val="22"/>
        </w:rPr>
        <w:t xml:space="preserve"> to the end of the month.  There was also the practical element, could the majority of manufacturers release two EMTs in this fashion in an appropriate timescale to make it feasible, the consensus was that they probably couldn’t.</w:t>
      </w:r>
    </w:p>
    <w:p w14:paraId="2EA97BE2" w14:textId="77777777" w:rsidR="00866CF6" w:rsidRPr="001F5422" w:rsidRDefault="00866CF6" w:rsidP="00866CF6">
      <w:pPr>
        <w:pStyle w:val="ListParagraph"/>
        <w:rPr>
          <w:rFonts w:asciiTheme="minorHAnsi" w:hAnsiTheme="minorHAnsi"/>
          <w:szCs w:val="22"/>
        </w:rPr>
      </w:pPr>
    </w:p>
    <w:p w14:paraId="37026AB0"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t>Using the ex-ante field:</w:t>
      </w:r>
      <w:r w:rsidRPr="001F5422">
        <w:rPr>
          <w:rFonts w:asciiTheme="minorHAnsi" w:hAnsiTheme="minorHAnsi"/>
          <w:szCs w:val="22"/>
        </w:rPr>
        <w:t xml:space="preserve"> We also noted that firms receiving the EMT could use the ex-ante figures for the range of ongoing costs and build a time series based off the data in this section to build a data set that could be used to calculate ex-post costs.  This solution gives the most accurate figure but we recognise it places a lot of emphasis on the recipient of the EMT.  We were concerned though about the standard practice of Field 00050 being a mirror of the publication date in the file header, as most EMTs are current released on a considerable lag – we felt that a repurposing of this field would assist – see our comments below in section 4.2 </w:t>
      </w:r>
    </w:p>
    <w:p w14:paraId="72C3B6C1" w14:textId="77777777" w:rsidR="00866CF6" w:rsidRPr="001F5422" w:rsidRDefault="00866CF6" w:rsidP="00866CF6">
      <w:pPr>
        <w:pStyle w:val="ListParagraph"/>
        <w:ind w:left="1080"/>
        <w:rPr>
          <w:rFonts w:asciiTheme="minorHAnsi" w:hAnsiTheme="minorHAnsi"/>
          <w:szCs w:val="22"/>
        </w:rPr>
      </w:pPr>
    </w:p>
    <w:p w14:paraId="5946FBA1"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t>OGC field 08030:</w:t>
      </w:r>
      <w:r w:rsidRPr="001F5422">
        <w:rPr>
          <w:rFonts w:asciiTheme="minorHAnsi" w:hAnsiTheme="minorHAnsi"/>
          <w:szCs w:val="22"/>
        </w:rPr>
        <w:t xml:space="preserve">  The narrative in this section focuses on field 08050 but clearly as field 08030 includes the value of the AMC the same concepts apply</w:t>
      </w:r>
    </w:p>
    <w:p w14:paraId="13303086" w14:textId="77777777" w:rsidR="00866CF6" w:rsidRPr="001F5422" w:rsidRDefault="00866CF6" w:rsidP="00866CF6">
      <w:pPr>
        <w:pStyle w:val="ListParagraph"/>
        <w:rPr>
          <w:rFonts w:asciiTheme="minorHAnsi" w:hAnsiTheme="minorHAnsi"/>
          <w:szCs w:val="22"/>
        </w:rPr>
      </w:pPr>
    </w:p>
    <w:p w14:paraId="3AC240C6"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t>Distribution fee 08060:</w:t>
      </w:r>
      <w:r w:rsidRPr="001F5422">
        <w:rPr>
          <w:rFonts w:asciiTheme="minorHAnsi" w:hAnsiTheme="minorHAnsi"/>
          <w:szCs w:val="22"/>
        </w:rPr>
        <w:t xml:space="preserve">  This is another data-point that should it be amended we would expect to work in a similar fashion to fields 08030 and 08050.</w:t>
      </w:r>
    </w:p>
    <w:p w14:paraId="493BB955" w14:textId="77777777" w:rsidR="00866CF6" w:rsidRPr="001F5422" w:rsidRDefault="00866CF6" w:rsidP="00866CF6">
      <w:pPr>
        <w:pStyle w:val="ListParagraph"/>
        <w:rPr>
          <w:rFonts w:asciiTheme="minorHAnsi" w:hAnsiTheme="minorHAnsi"/>
          <w:szCs w:val="22"/>
        </w:rPr>
      </w:pPr>
    </w:p>
    <w:p w14:paraId="1341BDB6" w14:textId="77777777" w:rsidR="00866CF6" w:rsidRPr="001F5422" w:rsidRDefault="00866CF6" w:rsidP="00866CF6">
      <w:pPr>
        <w:pStyle w:val="ListParagraph"/>
        <w:rPr>
          <w:rFonts w:asciiTheme="minorHAnsi" w:hAnsiTheme="minorHAnsi"/>
          <w:szCs w:val="22"/>
        </w:rPr>
      </w:pPr>
    </w:p>
    <w:p w14:paraId="5C179BB3" w14:textId="77777777" w:rsidR="00866CF6" w:rsidRPr="001F5422" w:rsidRDefault="00866CF6" w:rsidP="00C50267">
      <w:pPr>
        <w:pStyle w:val="ListParagraph"/>
        <w:numPr>
          <w:ilvl w:val="0"/>
          <w:numId w:val="89"/>
        </w:numPr>
        <w:spacing w:after="160" w:line="259" w:lineRule="auto"/>
        <w:ind w:left="709"/>
        <w:rPr>
          <w:rFonts w:asciiTheme="minorHAnsi" w:hAnsiTheme="minorHAnsi"/>
          <w:b/>
          <w:szCs w:val="22"/>
        </w:rPr>
      </w:pPr>
      <w:r w:rsidRPr="001F5422">
        <w:rPr>
          <w:rFonts w:asciiTheme="minorHAnsi" w:hAnsiTheme="minorHAnsi"/>
          <w:b/>
          <w:szCs w:val="22"/>
        </w:rPr>
        <w:t>Transaction Costs</w:t>
      </w:r>
    </w:p>
    <w:p w14:paraId="10BCFECB" w14:textId="77777777" w:rsidR="00866CF6" w:rsidRPr="001F5422" w:rsidRDefault="00866CF6" w:rsidP="00866CF6">
      <w:pPr>
        <w:rPr>
          <w:rFonts w:asciiTheme="minorHAnsi" w:hAnsiTheme="minorHAnsi"/>
          <w:szCs w:val="22"/>
        </w:rPr>
      </w:pPr>
      <w:r w:rsidRPr="001F5422">
        <w:rPr>
          <w:rFonts w:asciiTheme="minorHAnsi" w:hAnsiTheme="minorHAnsi"/>
          <w:szCs w:val="22"/>
        </w:rPr>
        <w:t xml:space="preserve">The market is currently split between countries and firms using the Arrival Price mechanism and those using spreads or other estimate based methodologies either on a trade by trade or fund level.  </w:t>
      </w:r>
    </w:p>
    <w:p w14:paraId="3D876047" w14:textId="77777777" w:rsidR="00866CF6" w:rsidRPr="001F5422" w:rsidRDefault="00866CF6" w:rsidP="00866CF6">
      <w:pPr>
        <w:rPr>
          <w:rFonts w:asciiTheme="minorHAnsi" w:hAnsiTheme="minorHAnsi"/>
          <w:szCs w:val="22"/>
        </w:rPr>
      </w:pPr>
      <w:r w:rsidRPr="001F5422">
        <w:rPr>
          <w:rFonts w:asciiTheme="minorHAnsi" w:hAnsiTheme="minorHAnsi"/>
          <w:szCs w:val="22"/>
        </w:rPr>
        <w:t>In the case of certain fund level estimate based processes transaction costs are unlikely to vary over time, particularly in those jurisdictions when the data in the last annual report is considered an appropriate base for both ex-ante and ex-post calculations.</w:t>
      </w:r>
    </w:p>
    <w:p w14:paraId="0D8555EB" w14:textId="77777777" w:rsidR="00866CF6" w:rsidRPr="001F5422" w:rsidRDefault="00866CF6" w:rsidP="00866CF6">
      <w:pPr>
        <w:rPr>
          <w:rFonts w:asciiTheme="minorHAnsi" w:hAnsiTheme="minorHAnsi"/>
          <w:szCs w:val="22"/>
        </w:rPr>
      </w:pPr>
      <w:r w:rsidRPr="001F5422">
        <w:rPr>
          <w:rFonts w:asciiTheme="minorHAnsi" w:hAnsiTheme="minorHAnsi"/>
          <w:szCs w:val="22"/>
        </w:rPr>
        <w:t>In other scenarios both estimate and price based transaction costs can vary over time and the question of how to use the date fields arises again</w:t>
      </w:r>
    </w:p>
    <w:p w14:paraId="4F3DCED8" w14:textId="77777777" w:rsidR="00866CF6" w:rsidRDefault="00866CF6" w:rsidP="00866CF6">
      <w:pPr>
        <w:rPr>
          <w:rFonts w:asciiTheme="minorHAnsi" w:hAnsiTheme="minorHAnsi"/>
          <w:szCs w:val="22"/>
        </w:rPr>
      </w:pPr>
      <w:r w:rsidRPr="001F5422">
        <w:rPr>
          <w:rFonts w:asciiTheme="minorHAnsi" w:hAnsiTheme="minorHAnsi"/>
          <w:szCs w:val="22"/>
        </w:rPr>
        <w:t>Initially, our analysis started with this data element and we were settled on the beginning/end dates covering a 12 month period and the manufacturer providing a rolling number in this field covering the 12 months encompassed by the dates, however the challenges with changing AMC/OGC rates prevented the implementation of this particular solution.</w:t>
      </w:r>
    </w:p>
    <w:p w14:paraId="300E9A49" w14:textId="77777777" w:rsidR="00C50267" w:rsidRPr="001F5422" w:rsidRDefault="00C50267" w:rsidP="00866CF6">
      <w:pPr>
        <w:rPr>
          <w:rFonts w:asciiTheme="minorHAnsi" w:hAnsiTheme="minorHAnsi"/>
          <w:szCs w:val="22"/>
        </w:rPr>
      </w:pPr>
    </w:p>
    <w:p w14:paraId="11351056"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We concluded that it was still appropriate that a manufacturer provided a rolling 12 month number, on a monthly/quarterly basis, with the end date field 08100 providing the end date of the 12 monthly period.  Effectively we are suggesting that field 08090 is ignored for the purposes of consuming ex-post transaction cost data.</w:t>
      </w:r>
    </w:p>
    <w:p w14:paraId="3BC05AE1" w14:textId="77777777" w:rsidR="00866CF6" w:rsidRPr="001F5422" w:rsidRDefault="00866CF6" w:rsidP="00866CF6">
      <w:pPr>
        <w:pStyle w:val="ListParagraph"/>
        <w:rPr>
          <w:rFonts w:asciiTheme="minorHAnsi" w:hAnsiTheme="minorHAnsi"/>
          <w:szCs w:val="22"/>
        </w:rPr>
      </w:pPr>
    </w:p>
    <w:p w14:paraId="5D6B46F3"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lastRenderedPageBreak/>
        <w:t>“Annualisation”:</w:t>
      </w:r>
      <w:r w:rsidRPr="001F5422">
        <w:rPr>
          <w:rFonts w:asciiTheme="minorHAnsi" w:hAnsiTheme="minorHAnsi"/>
          <w:szCs w:val="22"/>
        </w:rPr>
        <w:t xml:space="preserve">  We recognise that recipients could take the value in each of the 12 (or fewer) EMTs that a manufacturer supplies and create their own rolling average from this data, whilst we haven’t tested the actual impact of this we feel this would reduce accuracy but not in a significantly adverse fashion </w:t>
      </w:r>
    </w:p>
    <w:p w14:paraId="778DB09D" w14:textId="77777777" w:rsidR="00866CF6" w:rsidRPr="001F5422" w:rsidRDefault="00866CF6" w:rsidP="00866CF6">
      <w:pPr>
        <w:pStyle w:val="ListParagraph"/>
        <w:rPr>
          <w:rFonts w:asciiTheme="minorHAnsi" w:hAnsiTheme="minorHAnsi"/>
          <w:szCs w:val="22"/>
        </w:rPr>
      </w:pPr>
    </w:p>
    <w:p w14:paraId="11BD7D29"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t>Annual audited data:</w:t>
      </w:r>
      <w:r w:rsidRPr="001F5422">
        <w:rPr>
          <w:rFonts w:asciiTheme="minorHAnsi" w:hAnsiTheme="minorHAnsi"/>
          <w:szCs w:val="22"/>
        </w:rPr>
        <w:t xml:space="preserve">  We are aware that a number of manufacturers would prefer to populate this field with audited data once per annum.  It could be seen that this fits the principal of “close is close enough”, particularly as data suggests that some funds have reasonably constant transaction cost figures, but for a large section of the fund universe it would be less accurate than the model suggested, particularly in the months approaching the next annual renewal of data, enough so that it is no longer “close enough”.</w:t>
      </w:r>
    </w:p>
    <w:p w14:paraId="2D7746C4" w14:textId="77777777" w:rsidR="00866CF6" w:rsidRPr="001F5422" w:rsidRDefault="00866CF6" w:rsidP="00866CF6">
      <w:pPr>
        <w:rPr>
          <w:rFonts w:asciiTheme="minorHAnsi" w:hAnsiTheme="minorHAnsi"/>
          <w:szCs w:val="22"/>
        </w:rPr>
      </w:pPr>
    </w:p>
    <w:p w14:paraId="53E2A1DF" w14:textId="77777777" w:rsidR="00866CF6" w:rsidRPr="001F5422" w:rsidRDefault="00866CF6" w:rsidP="00C50267">
      <w:pPr>
        <w:pStyle w:val="ListParagraph"/>
        <w:numPr>
          <w:ilvl w:val="0"/>
          <w:numId w:val="89"/>
        </w:numPr>
        <w:spacing w:after="160" w:line="259" w:lineRule="auto"/>
        <w:ind w:left="709"/>
        <w:rPr>
          <w:rFonts w:asciiTheme="minorHAnsi" w:hAnsiTheme="minorHAnsi"/>
          <w:b/>
          <w:szCs w:val="22"/>
        </w:rPr>
      </w:pPr>
      <w:r w:rsidRPr="001F5422">
        <w:rPr>
          <w:rFonts w:asciiTheme="minorHAnsi" w:hAnsiTheme="minorHAnsi"/>
          <w:b/>
          <w:szCs w:val="22"/>
        </w:rPr>
        <w:t>Performance Fees</w:t>
      </w:r>
    </w:p>
    <w:p w14:paraId="3868CB98" w14:textId="77777777" w:rsidR="00866CF6" w:rsidRPr="001F5422" w:rsidRDefault="00866CF6" w:rsidP="00866CF6">
      <w:pPr>
        <w:pStyle w:val="ListParagraph"/>
        <w:ind w:left="360"/>
        <w:rPr>
          <w:rFonts w:asciiTheme="minorHAnsi" w:hAnsiTheme="minorHAnsi"/>
          <w:szCs w:val="22"/>
          <w:u w:val="single"/>
        </w:rPr>
      </w:pPr>
    </w:p>
    <w:p w14:paraId="2757490E"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t>“Last year’s audited number”:</w:t>
      </w:r>
      <w:r w:rsidRPr="001F5422">
        <w:rPr>
          <w:rFonts w:asciiTheme="minorHAnsi" w:hAnsiTheme="minorHAnsi"/>
          <w:szCs w:val="22"/>
        </w:rPr>
        <w:t xml:space="preserve">  The most common solution that had been discussed in various industry meetings to date was that manufacturers would populate this field with the figure that applied to the previous fund year, again like with transaction costs using the “audited” actual cost levied.  This solution doesn’t align well with the date parameters we had proposed using with either the OGC/AMC or Transaction costs because the figure doesn’t actually relate to the period covered in the EMT and so isn’t likely to accurately reflect the costs that the investor has experienced in this period given that its not common for markets to behave in a consistent fashion for two consecutive years.</w:t>
      </w:r>
    </w:p>
    <w:p w14:paraId="5A9A78D3" w14:textId="77777777" w:rsidR="00866CF6" w:rsidRPr="001F5422" w:rsidRDefault="00866CF6" w:rsidP="00866CF6">
      <w:pPr>
        <w:pStyle w:val="ListParagraph"/>
        <w:rPr>
          <w:rFonts w:asciiTheme="minorHAnsi" w:hAnsiTheme="minorHAnsi"/>
          <w:szCs w:val="22"/>
        </w:rPr>
      </w:pPr>
    </w:p>
    <w:p w14:paraId="731A0F37"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t>Using Accruals:</w:t>
      </w:r>
      <w:r w:rsidRPr="001F5422">
        <w:rPr>
          <w:rFonts w:asciiTheme="minorHAnsi" w:hAnsiTheme="minorHAnsi"/>
          <w:szCs w:val="22"/>
        </w:rPr>
        <w:t xml:space="preserve">  We discussed that the published figure could be based on the accruals generated by the fund during the 12 months to the end date specified in the EMT, effectively mirroring the treatment of the date fields used in the transaction cost scenario, in the main this would reflect the costs the investor has experienced as the NAV figure of the fund is adjusted by the accrual.</w:t>
      </w:r>
    </w:p>
    <w:p w14:paraId="49C6A5A5" w14:textId="77777777" w:rsidR="00866CF6" w:rsidRPr="001F5422" w:rsidRDefault="00866CF6" w:rsidP="00866CF6">
      <w:pPr>
        <w:pStyle w:val="ListParagraph"/>
        <w:rPr>
          <w:rFonts w:asciiTheme="minorHAnsi" w:hAnsiTheme="minorHAnsi"/>
          <w:szCs w:val="22"/>
        </w:rPr>
      </w:pPr>
    </w:p>
    <w:p w14:paraId="64CD7DBC" w14:textId="3B41BFE1"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However</w:t>
      </w:r>
      <w:r w:rsidR="00C50267">
        <w:rPr>
          <w:rFonts w:asciiTheme="minorHAnsi" w:hAnsiTheme="minorHAnsi"/>
          <w:szCs w:val="22"/>
        </w:rPr>
        <w:t>,</w:t>
      </w:r>
      <w:r w:rsidRPr="001F5422">
        <w:rPr>
          <w:rFonts w:asciiTheme="minorHAnsi" w:hAnsiTheme="minorHAnsi"/>
          <w:szCs w:val="22"/>
        </w:rPr>
        <w:t xml:space="preserve"> we recognised that providing a rolling 12 months of accrual may result in a negative cost figure being published as the accrual is lowered in scenarios where the fund performance is no longer exceeding the benchmark (after a period of out-performance) or otherwise falling and so might be adjusted down.  Also some funds may have some complicated accrual systems for managing their accruals that might not transfer well into a scenario where costs are published.</w:t>
      </w:r>
    </w:p>
    <w:p w14:paraId="3A5D8A7C" w14:textId="77777777" w:rsidR="00866CF6" w:rsidRPr="001F5422" w:rsidRDefault="00866CF6" w:rsidP="00866CF6">
      <w:pPr>
        <w:pStyle w:val="ListParagraph"/>
        <w:rPr>
          <w:rFonts w:asciiTheme="minorHAnsi" w:hAnsiTheme="minorHAnsi"/>
          <w:szCs w:val="22"/>
        </w:rPr>
      </w:pPr>
    </w:p>
    <w:p w14:paraId="3196942F"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t>Fulcrum Fees</w:t>
      </w:r>
      <w:r w:rsidRPr="001F5422">
        <w:rPr>
          <w:rFonts w:asciiTheme="minorHAnsi" w:hAnsiTheme="minorHAnsi"/>
          <w:szCs w:val="22"/>
          <w:u w:val="single"/>
        </w:rPr>
        <w:t>:</w:t>
      </w:r>
      <w:r w:rsidRPr="001F5422">
        <w:rPr>
          <w:rFonts w:asciiTheme="minorHAnsi" w:hAnsiTheme="minorHAnsi"/>
          <w:szCs w:val="22"/>
        </w:rPr>
        <w:t xml:space="preserve">  We also touched on the fulcrum fee scenario that we have seen a number of firms starting to deploy, the way that these operate we believe lend themselves to the scenario of being reported using the accruals suggestion.</w:t>
      </w:r>
    </w:p>
    <w:p w14:paraId="78BFA071" w14:textId="77777777" w:rsidR="00866CF6" w:rsidRPr="001F5422" w:rsidRDefault="00866CF6" w:rsidP="00866CF6">
      <w:pPr>
        <w:pStyle w:val="ListParagraph"/>
        <w:rPr>
          <w:rFonts w:asciiTheme="minorHAnsi" w:hAnsiTheme="minorHAnsi"/>
          <w:szCs w:val="22"/>
        </w:rPr>
      </w:pPr>
    </w:p>
    <w:p w14:paraId="6A7B194B"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 xml:space="preserve">There only appears to be two options in this space, neither definitely providing the “perfect” result.  Our preference was for the accrual driven solution covering the 12 months to the end date in the EMT, we felt in the main that this would better reflect the adjustment in the cost that the investor had experienced.  We suspect that might not work for all and we recognise the challenges of measuring these costs, so a fall back would be to use the </w:t>
      </w:r>
      <w:r w:rsidRPr="001F5422">
        <w:rPr>
          <w:rFonts w:asciiTheme="minorHAnsi" w:hAnsiTheme="minorHAnsi"/>
          <w:szCs w:val="22"/>
        </w:rPr>
        <w:lastRenderedPageBreak/>
        <w:t xml:space="preserve">previous published figure in a scenario where the accrual would not be appropriate for whatever reason, however this could bring in a large degree of inaccuracy. </w:t>
      </w:r>
    </w:p>
    <w:p w14:paraId="0F863109" w14:textId="77777777" w:rsidR="00866CF6" w:rsidRPr="001F5422" w:rsidRDefault="00866CF6" w:rsidP="00866CF6">
      <w:pPr>
        <w:pStyle w:val="ListParagraph"/>
        <w:rPr>
          <w:rFonts w:asciiTheme="minorHAnsi" w:hAnsiTheme="minorHAnsi"/>
          <w:szCs w:val="22"/>
        </w:rPr>
      </w:pPr>
    </w:p>
    <w:p w14:paraId="2A13D121"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t>“Annualisation:”</w:t>
      </w:r>
      <w:r w:rsidRPr="001F5422">
        <w:rPr>
          <w:rFonts w:asciiTheme="minorHAnsi" w:hAnsiTheme="minorHAnsi"/>
          <w:szCs w:val="22"/>
        </w:rPr>
        <w:t xml:space="preserve">  Similar to the point made about transaction costs, if a rolling 12 month figure is provided in every file we recognise that the recipient could create an average from this data series – it has not been possible to do any testing on what impact this might have on the level of accuracy </w:t>
      </w:r>
    </w:p>
    <w:p w14:paraId="554AB4EE" w14:textId="77777777" w:rsidR="00866CF6" w:rsidRPr="001F5422" w:rsidRDefault="00866CF6" w:rsidP="00866CF6">
      <w:pPr>
        <w:rPr>
          <w:rFonts w:asciiTheme="minorHAnsi" w:hAnsiTheme="minorHAnsi"/>
          <w:szCs w:val="22"/>
        </w:rPr>
      </w:pPr>
    </w:p>
    <w:p w14:paraId="2E0BF56A" w14:textId="77777777" w:rsidR="00866CF6" w:rsidRPr="001F5422" w:rsidRDefault="00866CF6" w:rsidP="00C50267">
      <w:pPr>
        <w:pStyle w:val="ListParagraph"/>
        <w:numPr>
          <w:ilvl w:val="0"/>
          <w:numId w:val="89"/>
        </w:numPr>
        <w:spacing w:after="160" w:line="259" w:lineRule="auto"/>
        <w:ind w:left="709"/>
        <w:rPr>
          <w:rFonts w:asciiTheme="minorHAnsi" w:hAnsiTheme="minorHAnsi"/>
          <w:b/>
          <w:szCs w:val="22"/>
        </w:rPr>
      </w:pPr>
      <w:r w:rsidRPr="001F5422">
        <w:rPr>
          <w:rFonts w:asciiTheme="minorHAnsi" w:hAnsiTheme="minorHAnsi"/>
          <w:b/>
          <w:szCs w:val="22"/>
        </w:rPr>
        <w:t>General comments</w:t>
      </w:r>
    </w:p>
    <w:p w14:paraId="1BD2AD04" w14:textId="77777777" w:rsidR="00866CF6" w:rsidRPr="001F5422" w:rsidRDefault="00866CF6" w:rsidP="00866CF6">
      <w:pPr>
        <w:pStyle w:val="ListParagraph"/>
        <w:ind w:left="360"/>
        <w:rPr>
          <w:rFonts w:asciiTheme="minorHAnsi" w:hAnsiTheme="minorHAnsi"/>
          <w:szCs w:val="22"/>
          <w:u w:val="single"/>
        </w:rPr>
      </w:pPr>
    </w:p>
    <w:p w14:paraId="7C442D32"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t>Annualisation:</w:t>
      </w:r>
      <w:r w:rsidRPr="001F5422">
        <w:rPr>
          <w:rFonts w:asciiTheme="minorHAnsi" w:hAnsiTheme="minorHAnsi"/>
          <w:szCs w:val="22"/>
        </w:rPr>
        <w:t xml:space="preserve">  Annualised costs figures should be published for all ex-post costs regardless of the date range in the ex-post section</w:t>
      </w:r>
    </w:p>
    <w:p w14:paraId="5E86C096" w14:textId="77777777" w:rsidR="00866CF6" w:rsidRPr="001F5422" w:rsidRDefault="00866CF6" w:rsidP="00866CF6">
      <w:pPr>
        <w:pStyle w:val="ListParagraph"/>
        <w:rPr>
          <w:rFonts w:asciiTheme="minorHAnsi" w:hAnsiTheme="minorHAnsi"/>
          <w:szCs w:val="22"/>
        </w:rPr>
      </w:pPr>
    </w:p>
    <w:p w14:paraId="72972A35"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t>Reporting Date 00050:</w:t>
      </w:r>
      <w:r w:rsidRPr="001F5422">
        <w:rPr>
          <w:rFonts w:asciiTheme="minorHAnsi" w:hAnsiTheme="minorHAnsi"/>
          <w:szCs w:val="22"/>
        </w:rPr>
        <w:t xml:space="preserve">  This should be the “as at” date of the ex-ante data in the file, we understand that at present this is often the same as the publication date of the file but given it can take several days or longer to create the EMT, its more appropriate that any recipient understands at what date the data in the ex-ante section applies.  Also we are aware that some manufacturers can’t publish their EMT until a month or two after the “as at” date of the data</w:t>
      </w:r>
    </w:p>
    <w:p w14:paraId="2C3B2CCA" w14:textId="77777777" w:rsidR="00866CF6" w:rsidRPr="001F5422" w:rsidRDefault="00866CF6" w:rsidP="00866CF6">
      <w:pPr>
        <w:pStyle w:val="ListParagraph"/>
        <w:rPr>
          <w:rFonts w:asciiTheme="minorHAnsi" w:hAnsiTheme="minorHAnsi"/>
          <w:szCs w:val="22"/>
        </w:rPr>
      </w:pPr>
    </w:p>
    <w:p w14:paraId="75320CD5"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t>Not Applicable:</w:t>
      </w:r>
      <w:r w:rsidRPr="001F5422">
        <w:rPr>
          <w:rFonts w:asciiTheme="minorHAnsi" w:hAnsiTheme="minorHAnsi"/>
          <w:szCs w:val="22"/>
        </w:rPr>
        <w:t xml:space="preserve">  In general the “99.99” convention is not helpful but we recognise we are bound by it in v1 of the EMT, the preference would be that this convention was removed in v2.</w:t>
      </w:r>
    </w:p>
    <w:p w14:paraId="1C234436" w14:textId="77777777" w:rsidR="00866CF6" w:rsidRPr="001F5422" w:rsidRDefault="00866CF6" w:rsidP="00866CF6">
      <w:pPr>
        <w:pStyle w:val="ListParagraph"/>
        <w:rPr>
          <w:rFonts w:asciiTheme="minorHAnsi" w:hAnsiTheme="minorHAnsi"/>
          <w:szCs w:val="22"/>
        </w:rPr>
      </w:pPr>
    </w:p>
    <w:p w14:paraId="0FFC96C6" w14:textId="77777777" w:rsidR="00866CF6" w:rsidRPr="001F5422" w:rsidRDefault="00866CF6" w:rsidP="00866CF6">
      <w:pPr>
        <w:pStyle w:val="ListParagraph"/>
        <w:rPr>
          <w:rFonts w:asciiTheme="minorHAnsi" w:hAnsiTheme="minorHAnsi"/>
          <w:szCs w:val="22"/>
        </w:rPr>
      </w:pPr>
    </w:p>
    <w:p w14:paraId="6830E486" w14:textId="77777777" w:rsidR="00866CF6" w:rsidRPr="001F5422" w:rsidRDefault="00866CF6" w:rsidP="00C50267">
      <w:pPr>
        <w:pStyle w:val="ListParagraph"/>
        <w:numPr>
          <w:ilvl w:val="0"/>
          <w:numId w:val="89"/>
        </w:numPr>
        <w:spacing w:after="160" w:line="259" w:lineRule="auto"/>
        <w:ind w:left="709"/>
        <w:rPr>
          <w:rFonts w:asciiTheme="minorHAnsi" w:hAnsiTheme="minorHAnsi"/>
          <w:b/>
          <w:szCs w:val="22"/>
        </w:rPr>
      </w:pPr>
      <w:r w:rsidRPr="001F5422">
        <w:rPr>
          <w:rFonts w:asciiTheme="minorHAnsi" w:hAnsiTheme="minorHAnsi"/>
          <w:b/>
          <w:szCs w:val="22"/>
        </w:rPr>
        <w:t>Closed Funds</w:t>
      </w:r>
    </w:p>
    <w:p w14:paraId="36BBC42B" w14:textId="77777777" w:rsidR="00866CF6" w:rsidRPr="001F5422" w:rsidRDefault="00866CF6" w:rsidP="00866CF6">
      <w:pPr>
        <w:pStyle w:val="ListParagraph"/>
        <w:ind w:left="360"/>
        <w:rPr>
          <w:rFonts w:asciiTheme="minorHAnsi" w:hAnsiTheme="minorHAnsi"/>
          <w:szCs w:val="22"/>
          <w:u w:val="single"/>
        </w:rPr>
      </w:pPr>
    </w:p>
    <w:p w14:paraId="5C617724"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Ex-post data on a fund that has closed will be published in the EMT following the closed date of the fund – it will not be included in any further EMTs</w:t>
      </w:r>
    </w:p>
    <w:p w14:paraId="222491E5" w14:textId="77777777" w:rsidR="00866CF6" w:rsidRPr="001F5422" w:rsidRDefault="00866CF6" w:rsidP="00866CF6">
      <w:pPr>
        <w:pStyle w:val="ListParagraph"/>
        <w:rPr>
          <w:rFonts w:asciiTheme="minorHAnsi" w:hAnsiTheme="minorHAnsi"/>
          <w:szCs w:val="22"/>
        </w:rPr>
      </w:pPr>
    </w:p>
    <w:p w14:paraId="6FFDD4A8"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The end date in the ex-post section for any share-class which has closed will be adjusted to run to the actual close date of the fund</w:t>
      </w:r>
    </w:p>
    <w:p w14:paraId="77D42265" w14:textId="77777777" w:rsidR="00866CF6" w:rsidRPr="001F5422" w:rsidRDefault="00866CF6" w:rsidP="00866CF6">
      <w:pPr>
        <w:pStyle w:val="ListParagraph"/>
        <w:rPr>
          <w:rFonts w:asciiTheme="minorHAnsi" w:hAnsiTheme="minorHAnsi"/>
          <w:szCs w:val="22"/>
        </w:rPr>
      </w:pPr>
    </w:p>
    <w:p w14:paraId="20387627"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i/>
          <w:szCs w:val="22"/>
          <w:u w:val="single"/>
        </w:rPr>
        <w:t>Ex-ante for closed funds:</w:t>
      </w:r>
      <w:r w:rsidRPr="001F5422">
        <w:rPr>
          <w:rFonts w:asciiTheme="minorHAnsi" w:hAnsiTheme="minorHAnsi"/>
          <w:szCs w:val="22"/>
        </w:rPr>
        <w:t xml:space="preserve">  It’s an anomaly of the template that ex-ante cost data is required even though the fund has closed because these fields are mandatory in EMTv1 and we understand it will trigger the validation rules of the recipient, we would like to see this anomaly resolved in EMT v2</w:t>
      </w:r>
    </w:p>
    <w:p w14:paraId="31197A94" w14:textId="77777777" w:rsidR="00866CF6" w:rsidRPr="001F5422" w:rsidRDefault="00866CF6" w:rsidP="00866CF6">
      <w:pPr>
        <w:pStyle w:val="ListParagraph"/>
        <w:rPr>
          <w:rFonts w:asciiTheme="minorHAnsi" w:hAnsiTheme="minorHAnsi"/>
          <w:szCs w:val="22"/>
        </w:rPr>
      </w:pPr>
    </w:p>
    <w:p w14:paraId="39805363" w14:textId="77777777" w:rsidR="00866CF6" w:rsidRPr="001F5422" w:rsidRDefault="00866CF6" w:rsidP="00866CF6">
      <w:pPr>
        <w:pStyle w:val="ListParagraph"/>
        <w:rPr>
          <w:rFonts w:asciiTheme="minorHAnsi" w:hAnsiTheme="minorHAnsi"/>
          <w:szCs w:val="22"/>
        </w:rPr>
      </w:pPr>
    </w:p>
    <w:p w14:paraId="0B0BCBB8" w14:textId="77777777" w:rsidR="00866CF6" w:rsidRPr="001F5422" w:rsidRDefault="00866CF6" w:rsidP="00C50267">
      <w:pPr>
        <w:pStyle w:val="ListParagraph"/>
        <w:numPr>
          <w:ilvl w:val="0"/>
          <w:numId w:val="89"/>
        </w:numPr>
        <w:spacing w:after="160" w:line="259" w:lineRule="auto"/>
        <w:ind w:left="709"/>
        <w:rPr>
          <w:rFonts w:asciiTheme="minorHAnsi" w:hAnsiTheme="minorHAnsi"/>
          <w:b/>
          <w:szCs w:val="22"/>
        </w:rPr>
      </w:pPr>
      <w:r w:rsidRPr="001F5422">
        <w:rPr>
          <w:rFonts w:asciiTheme="minorHAnsi" w:hAnsiTheme="minorHAnsi"/>
          <w:b/>
          <w:szCs w:val="22"/>
        </w:rPr>
        <w:t xml:space="preserve"> New Funds</w:t>
      </w:r>
    </w:p>
    <w:p w14:paraId="5E9301A5" w14:textId="77777777" w:rsidR="00866CF6" w:rsidRPr="001F5422" w:rsidRDefault="00866CF6" w:rsidP="00866CF6">
      <w:pPr>
        <w:pStyle w:val="ListParagraph"/>
        <w:ind w:left="360"/>
        <w:rPr>
          <w:rFonts w:asciiTheme="minorHAnsi" w:hAnsiTheme="minorHAnsi"/>
          <w:szCs w:val="22"/>
          <w:u w:val="single"/>
        </w:rPr>
      </w:pPr>
    </w:p>
    <w:p w14:paraId="48B312CC"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Its not possible to immediately publish ex-post costs for a new fund/share class, therefore for the initial period, we will enter 99.99 into the EMT following the processes laid out in the existing Q&amp;A document</w:t>
      </w:r>
    </w:p>
    <w:p w14:paraId="18E4FF9E" w14:textId="77777777" w:rsidR="00866CF6" w:rsidRPr="001F5422" w:rsidRDefault="00866CF6" w:rsidP="00866CF6">
      <w:pPr>
        <w:pStyle w:val="ListParagraph"/>
        <w:rPr>
          <w:rFonts w:asciiTheme="minorHAnsi" w:hAnsiTheme="minorHAnsi"/>
          <w:szCs w:val="22"/>
        </w:rPr>
      </w:pPr>
    </w:p>
    <w:p w14:paraId="242F0C45"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lastRenderedPageBreak/>
        <w:t>We would like to see a flag in the EMT v2 which identifies a fund/share-class as being a “new” fund</w:t>
      </w:r>
    </w:p>
    <w:p w14:paraId="3BF66B90" w14:textId="77777777" w:rsidR="00866CF6" w:rsidRPr="001F5422" w:rsidRDefault="00866CF6" w:rsidP="00866CF6">
      <w:pPr>
        <w:pStyle w:val="ListParagraph"/>
        <w:rPr>
          <w:rFonts w:asciiTheme="minorHAnsi" w:hAnsiTheme="minorHAnsi"/>
          <w:szCs w:val="22"/>
        </w:rPr>
      </w:pPr>
    </w:p>
    <w:p w14:paraId="77894B80"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The beginning date entered into field 08090 for a new fund/share-class will reflect the actual launch date of the fund the first time it is listed within the EMT rather than the standard one month date used for other share classes</w:t>
      </w:r>
    </w:p>
    <w:p w14:paraId="692265AF" w14:textId="77777777" w:rsidR="00866CF6" w:rsidRPr="001F5422" w:rsidRDefault="00866CF6" w:rsidP="00866CF6">
      <w:pPr>
        <w:rPr>
          <w:rFonts w:asciiTheme="minorHAnsi" w:hAnsiTheme="minorHAnsi"/>
          <w:szCs w:val="22"/>
        </w:rPr>
      </w:pPr>
    </w:p>
    <w:p w14:paraId="67A3D1E6" w14:textId="77777777" w:rsidR="00866CF6" w:rsidRPr="001F5422" w:rsidRDefault="00866CF6" w:rsidP="00866CF6">
      <w:pPr>
        <w:rPr>
          <w:rFonts w:asciiTheme="minorHAnsi" w:hAnsiTheme="minorHAnsi"/>
          <w:szCs w:val="22"/>
        </w:rPr>
      </w:pPr>
    </w:p>
    <w:p w14:paraId="12B850E7" w14:textId="77777777" w:rsidR="00866CF6" w:rsidRPr="001F5422" w:rsidRDefault="00866CF6" w:rsidP="00866CF6">
      <w:pPr>
        <w:rPr>
          <w:rFonts w:asciiTheme="minorHAnsi" w:hAnsiTheme="minorHAnsi"/>
          <w:szCs w:val="22"/>
        </w:rPr>
      </w:pPr>
    </w:p>
    <w:p w14:paraId="44047A6B" w14:textId="77777777" w:rsidR="00866CF6" w:rsidRPr="001F5422" w:rsidRDefault="00866CF6" w:rsidP="00C50267">
      <w:pPr>
        <w:pStyle w:val="ListParagraph"/>
        <w:numPr>
          <w:ilvl w:val="0"/>
          <w:numId w:val="89"/>
        </w:numPr>
        <w:spacing w:after="160" w:line="259" w:lineRule="auto"/>
        <w:ind w:left="709"/>
        <w:rPr>
          <w:rFonts w:asciiTheme="minorHAnsi" w:hAnsiTheme="minorHAnsi"/>
          <w:b/>
          <w:szCs w:val="22"/>
        </w:rPr>
      </w:pPr>
      <w:r w:rsidRPr="001F5422">
        <w:rPr>
          <w:rFonts w:asciiTheme="minorHAnsi" w:hAnsiTheme="minorHAnsi"/>
          <w:b/>
          <w:szCs w:val="22"/>
        </w:rPr>
        <w:t xml:space="preserve"> Summary of analysis </w:t>
      </w:r>
    </w:p>
    <w:p w14:paraId="7AD9462A" w14:textId="77777777" w:rsidR="00866CF6" w:rsidRPr="001F5422" w:rsidRDefault="00866CF6" w:rsidP="00866CF6">
      <w:pPr>
        <w:pStyle w:val="ListParagraph"/>
        <w:ind w:left="360"/>
        <w:rPr>
          <w:rFonts w:asciiTheme="minorHAnsi" w:hAnsiTheme="minorHAnsi"/>
          <w:szCs w:val="22"/>
          <w:u w:val="single"/>
        </w:rPr>
      </w:pPr>
    </w:p>
    <w:p w14:paraId="7C65BDA7"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Despite its limitations in the area of ex-post reporting we continue to see the EMT as the only method in which costs can be passed from the manufacturers to the Distributors</w:t>
      </w:r>
    </w:p>
    <w:p w14:paraId="6629AE5F" w14:textId="77777777" w:rsidR="00866CF6" w:rsidRPr="001F5422" w:rsidRDefault="00866CF6" w:rsidP="00866CF6">
      <w:pPr>
        <w:pStyle w:val="ListParagraph"/>
        <w:rPr>
          <w:rFonts w:asciiTheme="minorHAnsi" w:hAnsiTheme="minorHAnsi"/>
          <w:szCs w:val="22"/>
        </w:rPr>
      </w:pPr>
    </w:p>
    <w:p w14:paraId="68135258" w14:textId="77777777" w:rsidR="00866CF6" w:rsidRPr="001F5422" w:rsidRDefault="00866CF6" w:rsidP="00866CF6">
      <w:pPr>
        <w:pStyle w:val="ListParagraph"/>
        <w:numPr>
          <w:ilvl w:val="1"/>
          <w:numId w:val="89"/>
        </w:numPr>
        <w:spacing w:after="160" w:line="259" w:lineRule="auto"/>
        <w:rPr>
          <w:rFonts w:asciiTheme="minorHAnsi" w:hAnsiTheme="minorHAnsi"/>
          <w:szCs w:val="22"/>
          <w:u w:val="single"/>
        </w:rPr>
      </w:pPr>
      <w:r w:rsidRPr="001F5422">
        <w:rPr>
          <w:rFonts w:asciiTheme="minorHAnsi" w:hAnsiTheme="minorHAnsi"/>
          <w:szCs w:val="22"/>
        </w:rPr>
        <w:t>We recommend that data relating to ex-post AMC/OGC is provided using a monthly date range using the options laid out in point 1.2.  If there are concerns about the accuracy of this from recipients then perhaps the use of the ex-ante data in the manner described in 1.6 above could be explored by the Distributors in more detail</w:t>
      </w:r>
    </w:p>
    <w:p w14:paraId="484AE005" w14:textId="77777777" w:rsidR="00866CF6" w:rsidRPr="001F5422" w:rsidRDefault="00866CF6" w:rsidP="00866CF6">
      <w:pPr>
        <w:pStyle w:val="ListParagraph"/>
        <w:rPr>
          <w:rFonts w:asciiTheme="minorHAnsi" w:hAnsiTheme="minorHAnsi"/>
          <w:szCs w:val="22"/>
          <w:u w:val="single"/>
        </w:rPr>
      </w:pPr>
    </w:p>
    <w:p w14:paraId="7B8108CA" w14:textId="77777777" w:rsidR="00866CF6" w:rsidRPr="001F5422" w:rsidRDefault="00866CF6" w:rsidP="00866CF6">
      <w:pPr>
        <w:pStyle w:val="ListParagraph"/>
        <w:numPr>
          <w:ilvl w:val="1"/>
          <w:numId w:val="89"/>
        </w:numPr>
        <w:spacing w:after="160" w:line="259" w:lineRule="auto"/>
        <w:rPr>
          <w:rFonts w:asciiTheme="minorHAnsi" w:hAnsiTheme="minorHAnsi"/>
          <w:szCs w:val="22"/>
          <w:u w:val="single"/>
        </w:rPr>
      </w:pPr>
      <w:r w:rsidRPr="001F5422">
        <w:rPr>
          <w:rFonts w:asciiTheme="minorHAnsi" w:hAnsiTheme="minorHAnsi"/>
          <w:szCs w:val="22"/>
        </w:rPr>
        <w:t>We recommend that transaction costs are provided on a rolling 12 months basis to the date in field 08100</w:t>
      </w:r>
    </w:p>
    <w:p w14:paraId="203B1995" w14:textId="77777777" w:rsidR="00866CF6" w:rsidRPr="001F5422" w:rsidRDefault="00866CF6" w:rsidP="00866CF6">
      <w:pPr>
        <w:pStyle w:val="ListParagraph"/>
        <w:rPr>
          <w:rFonts w:asciiTheme="minorHAnsi" w:hAnsiTheme="minorHAnsi"/>
          <w:szCs w:val="22"/>
          <w:u w:val="single"/>
        </w:rPr>
      </w:pPr>
    </w:p>
    <w:p w14:paraId="165127B2" w14:textId="77777777" w:rsidR="00866CF6" w:rsidRPr="001F5422" w:rsidRDefault="00866CF6" w:rsidP="00866CF6">
      <w:pPr>
        <w:pStyle w:val="ListParagraph"/>
        <w:numPr>
          <w:ilvl w:val="1"/>
          <w:numId w:val="89"/>
        </w:numPr>
        <w:spacing w:after="160" w:line="259" w:lineRule="auto"/>
        <w:rPr>
          <w:rFonts w:asciiTheme="minorHAnsi" w:hAnsiTheme="minorHAnsi"/>
          <w:szCs w:val="22"/>
          <w:u w:val="single"/>
        </w:rPr>
      </w:pPr>
      <w:r w:rsidRPr="001F5422">
        <w:rPr>
          <w:rFonts w:asciiTheme="minorHAnsi" w:hAnsiTheme="minorHAnsi"/>
          <w:szCs w:val="22"/>
        </w:rPr>
        <w:t>We suggest that costs relating to performance fees are provided by using a rolling 12 months of accruals to the date in field 08100.  However this may not work in all scenarios given the way that accruals in this area are generated so an alternative option would be to use the last audited data</w:t>
      </w:r>
    </w:p>
    <w:p w14:paraId="426CA4D7" w14:textId="77777777" w:rsidR="00866CF6" w:rsidRPr="001F5422" w:rsidRDefault="00866CF6" w:rsidP="00866CF6">
      <w:pPr>
        <w:pStyle w:val="ListParagraph"/>
        <w:rPr>
          <w:rFonts w:asciiTheme="minorHAnsi" w:hAnsiTheme="minorHAnsi"/>
          <w:szCs w:val="22"/>
        </w:rPr>
      </w:pPr>
    </w:p>
    <w:p w14:paraId="5CFCA964" w14:textId="77777777" w:rsidR="00866CF6" w:rsidRPr="001F5422" w:rsidRDefault="00866CF6" w:rsidP="00866CF6">
      <w:pPr>
        <w:pStyle w:val="ListParagraph"/>
        <w:rPr>
          <w:rFonts w:asciiTheme="minorHAnsi" w:hAnsiTheme="minorHAnsi"/>
          <w:szCs w:val="22"/>
          <w:u w:val="single"/>
        </w:rPr>
      </w:pPr>
      <w:r w:rsidRPr="001F5422">
        <w:rPr>
          <w:rFonts w:asciiTheme="minorHAnsi" w:hAnsiTheme="minorHAnsi"/>
          <w:szCs w:val="22"/>
        </w:rPr>
        <w:t xml:space="preserve"> </w:t>
      </w:r>
    </w:p>
    <w:p w14:paraId="63FB40A3" w14:textId="77777777" w:rsidR="00866CF6" w:rsidRPr="001F5422" w:rsidRDefault="00866CF6" w:rsidP="006A7811">
      <w:pPr>
        <w:pStyle w:val="ListParagraph"/>
        <w:numPr>
          <w:ilvl w:val="0"/>
          <w:numId w:val="89"/>
        </w:numPr>
        <w:spacing w:after="160" w:line="259" w:lineRule="auto"/>
        <w:ind w:left="709"/>
        <w:rPr>
          <w:rFonts w:asciiTheme="minorHAnsi" w:hAnsiTheme="minorHAnsi"/>
          <w:b/>
          <w:szCs w:val="22"/>
        </w:rPr>
      </w:pPr>
      <w:r w:rsidRPr="001F5422">
        <w:rPr>
          <w:rFonts w:asciiTheme="minorHAnsi" w:hAnsiTheme="minorHAnsi"/>
          <w:szCs w:val="22"/>
        </w:rPr>
        <w:t xml:space="preserve"> </w:t>
      </w:r>
      <w:r w:rsidRPr="001F5422">
        <w:rPr>
          <w:rFonts w:asciiTheme="minorHAnsi" w:hAnsiTheme="minorHAnsi"/>
          <w:b/>
          <w:szCs w:val="22"/>
        </w:rPr>
        <w:t>Thoughts on amendments for EMT v2</w:t>
      </w:r>
    </w:p>
    <w:p w14:paraId="38EB88DA" w14:textId="77777777" w:rsidR="00866CF6" w:rsidRPr="001F5422" w:rsidRDefault="00866CF6" w:rsidP="00866CF6">
      <w:pPr>
        <w:pStyle w:val="ListParagraph"/>
        <w:ind w:left="360"/>
        <w:rPr>
          <w:rFonts w:asciiTheme="minorHAnsi" w:hAnsiTheme="minorHAnsi"/>
          <w:szCs w:val="22"/>
        </w:rPr>
      </w:pPr>
    </w:p>
    <w:p w14:paraId="3EEDF2A8"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We’d like to see the “99.99” data-point removed as an option, even if that means that some fields that are only numeric become alpha numeric in order to allow for some form of N/A type flag</w:t>
      </w:r>
    </w:p>
    <w:p w14:paraId="4982DA3E" w14:textId="77777777" w:rsidR="00866CF6" w:rsidRPr="001F5422" w:rsidRDefault="00866CF6" w:rsidP="00866CF6">
      <w:pPr>
        <w:pStyle w:val="ListParagraph"/>
        <w:rPr>
          <w:rFonts w:asciiTheme="minorHAnsi" w:hAnsiTheme="minorHAnsi"/>
          <w:szCs w:val="22"/>
        </w:rPr>
      </w:pPr>
    </w:p>
    <w:p w14:paraId="3BFB53BE"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It’s likely that adding a “share class status field” could help reduce the volume of “99.99” and also remove the need for the odd requirement to provide ex-ante and target market information for a fund that has closed, just because of the need to provide ex-post costs</w:t>
      </w:r>
    </w:p>
    <w:p w14:paraId="33C863FC" w14:textId="77777777" w:rsidR="00866CF6" w:rsidRPr="001F5422" w:rsidRDefault="00866CF6" w:rsidP="00866CF6">
      <w:pPr>
        <w:pStyle w:val="ListParagraph"/>
        <w:rPr>
          <w:rFonts w:asciiTheme="minorHAnsi" w:hAnsiTheme="minorHAnsi"/>
          <w:szCs w:val="22"/>
        </w:rPr>
      </w:pPr>
    </w:p>
    <w:p w14:paraId="29B08AB9" w14:textId="77777777" w:rsidR="00866CF6" w:rsidRPr="001F5422" w:rsidRDefault="00866CF6" w:rsidP="00866CF6">
      <w:pPr>
        <w:pStyle w:val="ListParagraph"/>
        <w:numPr>
          <w:ilvl w:val="1"/>
          <w:numId w:val="89"/>
        </w:numPr>
        <w:spacing w:after="160" w:line="259" w:lineRule="auto"/>
        <w:rPr>
          <w:rFonts w:asciiTheme="minorHAnsi" w:hAnsiTheme="minorHAnsi"/>
          <w:szCs w:val="22"/>
        </w:rPr>
      </w:pPr>
      <w:r w:rsidRPr="001F5422">
        <w:rPr>
          <w:rFonts w:asciiTheme="minorHAnsi" w:hAnsiTheme="minorHAnsi"/>
          <w:szCs w:val="22"/>
        </w:rPr>
        <w:t xml:space="preserve">Revisiting the date fields, particularly in the ex-post section – its likely that the provision of accurate data would be improved </w:t>
      </w:r>
    </w:p>
    <w:p w14:paraId="075FBF6F" w14:textId="77777777" w:rsidR="00866CF6" w:rsidRDefault="00866CF6" w:rsidP="007D53AC">
      <w:pPr>
        <w:spacing w:line="276" w:lineRule="auto"/>
        <w:jc w:val="both"/>
        <w:rPr>
          <w:rFonts w:asciiTheme="minorHAnsi" w:hAnsiTheme="minorHAnsi"/>
        </w:rPr>
      </w:pPr>
    </w:p>
    <w:p w14:paraId="79BD4A40" w14:textId="77777777" w:rsidR="00866CF6" w:rsidRDefault="00866CF6" w:rsidP="007D53AC">
      <w:pPr>
        <w:spacing w:line="276" w:lineRule="auto"/>
        <w:jc w:val="both"/>
        <w:rPr>
          <w:rFonts w:asciiTheme="minorHAnsi" w:hAnsiTheme="minorHAnsi"/>
        </w:rPr>
      </w:pPr>
    </w:p>
    <w:p w14:paraId="592EDB2D" w14:textId="77777777" w:rsidR="00866CF6" w:rsidRDefault="00866CF6" w:rsidP="007D53AC">
      <w:pPr>
        <w:spacing w:line="276" w:lineRule="auto"/>
        <w:jc w:val="both"/>
        <w:rPr>
          <w:rFonts w:asciiTheme="minorHAnsi" w:hAnsiTheme="minorHAnsi"/>
        </w:rPr>
      </w:pPr>
    </w:p>
    <w:p w14:paraId="53CAD0D9" w14:textId="052B9F37" w:rsidR="00C64DAA" w:rsidRDefault="00C64DAA" w:rsidP="007D53AC">
      <w:pPr>
        <w:spacing w:line="276" w:lineRule="auto"/>
        <w:jc w:val="both"/>
        <w:rPr>
          <w:rFonts w:asciiTheme="minorHAnsi" w:hAnsiTheme="minorHAnsi"/>
        </w:rPr>
      </w:pPr>
    </w:p>
    <w:p w14:paraId="26BAF8A3" w14:textId="0401D67B" w:rsidR="00C64DAA" w:rsidRDefault="00C64DAA" w:rsidP="001F5422">
      <w:pPr>
        <w:pStyle w:val="Heading2"/>
      </w:pPr>
      <w:bookmarkStart w:id="708" w:name="_Toc409468257"/>
      <w:r>
        <w:lastRenderedPageBreak/>
        <w:t>The EMT V1.0 spreadsheet is provided below</w:t>
      </w:r>
      <w:r w:rsidR="004A4D82">
        <w:t>, with the Q&amp;A provided by the EWG</w:t>
      </w:r>
      <w:r>
        <w:t>.</w:t>
      </w:r>
      <w:bookmarkEnd w:id="708"/>
    </w:p>
    <w:p w14:paraId="1888A714" w14:textId="77777777" w:rsidR="005350C4" w:rsidRDefault="005350C4" w:rsidP="007D16BB">
      <w:pPr>
        <w:jc w:val="both"/>
        <w:rPr>
          <w:rFonts w:asciiTheme="minorHAnsi" w:hAnsiTheme="minorHAnsi"/>
        </w:rPr>
      </w:pPr>
    </w:p>
    <w:p w14:paraId="358D6882" w14:textId="0D6AA9DA" w:rsidR="00C64DAA" w:rsidRDefault="00C64DAA" w:rsidP="007D16BB">
      <w:pPr>
        <w:jc w:val="both"/>
      </w:pPr>
    </w:p>
    <w:p w14:paraId="5B18DB7E" w14:textId="77777777" w:rsidR="0043715C" w:rsidRDefault="0043715C" w:rsidP="007D16BB">
      <w:pPr>
        <w:jc w:val="both"/>
      </w:pPr>
    </w:p>
    <w:p w14:paraId="346ADAF8" w14:textId="77777777" w:rsidR="004A4D82" w:rsidRDefault="00245D42" w:rsidP="0043715C">
      <w:pPr>
        <w:jc w:val="both"/>
      </w:pPr>
      <w:r>
        <w:object w:dxaOrig="1560" w:dyaOrig="860" w14:anchorId="751E06F9">
          <v:shape id="_x0000_i1026" type="#_x0000_t75" style="width:77.6pt;height:42.4pt" o:ole="">
            <v:imagedata r:id="rId30" o:title=""/>
          </v:shape>
          <o:OLEObject Type="Embed" ProgID="Excel.Sheet.12" ShapeID="_x0000_i1026" DrawAspect="Icon" ObjectID="_1484809606" r:id="rId31"/>
        </w:object>
      </w:r>
    </w:p>
    <w:p w14:paraId="683ACE20" w14:textId="77777777" w:rsidR="004A4D82" w:rsidRDefault="004A4D82" w:rsidP="0043715C">
      <w:pPr>
        <w:jc w:val="both"/>
      </w:pPr>
    </w:p>
    <w:p w14:paraId="1BFE7F69" w14:textId="025F2048" w:rsidR="0043715C" w:rsidRDefault="00A65DDB" w:rsidP="0043715C">
      <w:pPr>
        <w:jc w:val="both"/>
      </w:pPr>
      <w:r>
        <w:object w:dxaOrig="1560" w:dyaOrig="1040" w14:anchorId="344DB554">
          <v:shape id="_x0000_i1027" type="#_x0000_t75" style="width:77.6pt;height:52.8pt" o:ole="">
            <v:imagedata r:id="rId32" o:title=""/>
          </v:shape>
          <o:OLEObject Type="Embed" ProgID="Excel.Sheet.12" ShapeID="_x0000_i1027" DrawAspect="Icon" ObjectID="_1484809607" r:id="rId33"/>
        </w:object>
      </w:r>
    </w:p>
    <w:p w14:paraId="166628E0" w14:textId="77777777" w:rsidR="004A4D82" w:rsidRDefault="004A4D82" w:rsidP="0043715C">
      <w:pPr>
        <w:jc w:val="both"/>
        <w:rPr>
          <w:rFonts w:asciiTheme="minorHAnsi" w:hAnsiTheme="minorHAnsi"/>
        </w:rPr>
      </w:pPr>
    </w:p>
    <w:p w14:paraId="63A96895" w14:textId="77777777" w:rsidR="0043715C" w:rsidRDefault="0043715C" w:rsidP="007D16BB">
      <w:pPr>
        <w:jc w:val="both"/>
        <w:rPr>
          <w:rFonts w:asciiTheme="minorHAnsi" w:hAnsiTheme="minorHAnsi"/>
        </w:rPr>
      </w:pPr>
    </w:p>
    <w:p w14:paraId="4D7E6B87" w14:textId="0C30B295" w:rsidR="006A1444" w:rsidRDefault="006A1444">
      <w:pPr>
        <w:spacing w:after="160" w:line="259" w:lineRule="auto"/>
        <w:ind w:left="0"/>
        <w:rPr>
          <w:rFonts w:asciiTheme="minorHAnsi" w:hAnsiTheme="minorHAnsi"/>
        </w:rPr>
      </w:pPr>
      <w:r>
        <w:rPr>
          <w:rFonts w:asciiTheme="minorHAnsi" w:hAnsiTheme="minorHAnsi"/>
        </w:rPr>
        <w:br w:type="page"/>
      </w:r>
    </w:p>
    <w:p w14:paraId="433FA83D" w14:textId="77777777" w:rsidR="005350C4" w:rsidRPr="00A14F30" w:rsidRDefault="005350C4" w:rsidP="007D16BB">
      <w:pPr>
        <w:jc w:val="both"/>
        <w:rPr>
          <w:rFonts w:asciiTheme="minorHAnsi" w:hAnsiTheme="minorHAnsi"/>
        </w:rPr>
      </w:pPr>
    </w:p>
    <w:p w14:paraId="7AEE61E4" w14:textId="77777777" w:rsidR="006A1444" w:rsidRPr="00CC523E" w:rsidRDefault="006A1444" w:rsidP="006A1444">
      <w:pPr>
        <w:pStyle w:val="Heading1"/>
        <w:rPr>
          <w:rFonts w:ascii="Calibri" w:hAnsi="Calibri"/>
          <w:b/>
          <w:bCs/>
          <w:color w:val="auto"/>
          <w:sz w:val="28"/>
          <w:szCs w:val="28"/>
          <w:lang w:val="en-GB"/>
        </w:rPr>
      </w:pPr>
      <w:bookmarkStart w:id="709" w:name="_Toc364001923"/>
      <w:bookmarkStart w:id="710" w:name="_Toc364343180"/>
      <w:bookmarkStart w:id="711" w:name="_Toc364343366"/>
      <w:bookmarkStart w:id="712" w:name="_Toc364343726"/>
      <w:bookmarkStart w:id="713" w:name="_Toc364635791"/>
      <w:bookmarkStart w:id="714" w:name="_Toc364636183"/>
      <w:bookmarkStart w:id="715" w:name="_Toc364636619"/>
      <w:bookmarkStart w:id="716" w:name="_Toc366502113"/>
      <w:bookmarkStart w:id="717" w:name="_Toc369907894"/>
      <w:bookmarkStart w:id="718" w:name="_Toc370052411"/>
      <w:bookmarkStart w:id="719" w:name="_Toc372234559"/>
      <w:bookmarkStart w:id="720" w:name="_Toc395871087"/>
      <w:bookmarkStart w:id="721" w:name="_Toc409468258"/>
      <w:r w:rsidRPr="00CC523E">
        <w:rPr>
          <w:rFonts w:ascii="Calibri" w:hAnsi="Calibri"/>
          <w:b/>
          <w:bCs/>
          <w:color w:val="auto"/>
          <w:sz w:val="28"/>
          <w:szCs w:val="28"/>
          <w:lang w:val="en-GB"/>
        </w:rPr>
        <w:t>Definitions</w:t>
      </w:r>
      <w:bookmarkEnd w:id="709"/>
      <w:bookmarkEnd w:id="710"/>
      <w:bookmarkEnd w:id="711"/>
      <w:bookmarkEnd w:id="712"/>
      <w:bookmarkEnd w:id="713"/>
      <w:bookmarkEnd w:id="714"/>
      <w:bookmarkEnd w:id="715"/>
      <w:bookmarkEnd w:id="716"/>
      <w:bookmarkEnd w:id="717"/>
      <w:bookmarkEnd w:id="718"/>
      <w:bookmarkEnd w:id="719"/>
      <w:bookmarkEnd w:id="720"/>
      <w:bookmarkEnd w:id="721"/>
    </w:p>
    <w:p w14:paraId="262E65DC" w14:textId="77777777" w:rsidR="006A1444" w:rsidRDefault="006A1444" w:rsidP="006A1444">
      <w:pPr>
        <w:pStyle w:val="NoSpacing"/>
        <w:jc w:val="both"/>
        <w:rPr>
          <w:rFonts w:asciiTheme="minorHAnsi" w:hAnsiTheme="minorHAnsi"/>
          <w:color w:val="auto"/>
          <w:sz w:val="22"/>
          <w:szCs w:val="22"/>
          <w:lang w:val="en-GB"/>
        </w:rPr>
      </w:pPr>
    </w:p>
    <w:p w14:paraId="5B15E411" w14:textId="3EA2C869" w:rsidR="006A1444" w:rsidRPr="00786673" w:rsidRDefault="006A1444" w:rsidP="007D53AC">
      <w:pPr>
        <w:pStyle w:val="NoSpacing"/>
        <w:spacing w:line="276" w:lineRule="auto"/>
        <w:ind w:left="432"/>
        <w:jc w:val="both"/>
        <w:rPr>
          <w:rFonts w:asciiTheme="minorHAnsi" w:eastAsia="Times New Roman" w:hAnsiTheme="minorHAnsi"/>
          <w:color w:val="auto"/>
          <w:sz w:val="22"/>
          <w:szCs w:val="22"/>
        </w:rPr>
      </w:pPr>
      <w:r w:rsidRPr="00786673">
        <w:rPr>
          <w:rFonts w:asciiTheme="minorHAnsi" w:eastAsia="Times New Roman" w:hAnsiTheme="minorHAnsi"/>
          <w:color w:val="auto"/>
          <w:sz w:val="22"/>
          <w:szCs w:val="22"/>
        </w:rPr>
        <w:t xml:space="preserve">For the purposes of this guide, </w:t>
      </w:r>
      <w:r w:rsidR="00CC7CFB" w:rsidRPr="00786673">
        <w:rPr>
          <w:rFonts w:asciiTheme="minorHAnsi" w:eastAsia="Times New Roman" w:hAnsiTheme="minorHAnsi"/>
          <w:color w:val="auto"/>
          <w:sz w:val="22"/>
          <w:szCs w:val="22"/>
        </w:rPr>
        <w:t xml:space="preserve">we have given </w:t>
      </w:r>
      <w:r w:rsidRPr="00786673">
        <w:rPr>
          <w:rFonts w:asciiTheme="minorHAnsi" w:eastAsia="Times New Roman" w:hAnsiTheme="minorHAnsi"/>
          <w:color w:val="auto"/>
          <w:sz w:val="22"/>
          <w:szCs w:val="22"/>
        </w:rPr>
        <w:t xml:space="preserve">the following definitions </w:t>
      </w:r>
      <w:r w:rsidR="00CC7CFB" w:rsidRPr="00786673">
        <w:rPr>
          <w:rFonts w:asciiTheme="minorHAnsi" w:eastAsia="Times New Roman" w:hAnsiTheme="minorHAnsi"/>
          <w:color w:val="auto"/>
          <w:sz w:val="22"/>
          <w:szCs w:val="22"/>
        </w:rPr>
        <w:t>and where applicable the relevant EU regulation has been mentioned</w:t>
      </w:r>
      <w:r w:rsidRPr="00786673">
        <w:rPr>
          <w:rFonts w:asciiTheme="minorHAnsi" w:eastAsia="Times New Roman" w:hAnsiTheme="minorHAnsi"/>
          <w:color w:val="auto"/>
          <w:sz w:val="22"/>
          <w:szCs w:val="22"/>
        </w:rPr>
        <w:t>.</w:t>
      </w:r>
    </w:p>
    <w:p w14:paraId="1BA239E2" w14:textId="77777777" w:rsidR="00E4462C" w:rsidRDefault="00E4462C" w:rsidP="007D53AC">
      <w:pPr>
        <w:spacing w:line="276" w:lineRule="auto"/>
        <w:ind w:left="432"/>
        <w:jc w:val="both"/>
        <w:rPr>
          <w:rFonts w:asciiTheme="minorHAnsi" w:hAnsiTheme="minorHAnsi"/>
        </w:rPr>
      </w:pPr>
    </w:p>
    <w:p w14:paraId="71DB41A8" w14:textId="77777777" w:rsidR="006A1444" w:rsidRPr="00331B33" w:rsidRDefault="006A1444" w:rsidP="007D53AC">
      <w:pPr>
        <w:pStyle w:val="ListParagraph"/>
        <w:numPr>
          <w:ilvl w:val="0"/>
          <w:numId w:val="49"/>
        </w:numPr>
        <w:spacing w:line="276" w:lineRule="auto"/>
        <w:ind w:left="1152"/>
        <w:rPr>
          <w:rFonts w:asciiTheme="minorHAnsi" w:hAnsiTheme="minorHAnsi"/>
          <w:szCs w:val="22"/>
          <w:lang w:val="en-GB"/>
        </w:rPr>
      </w:pPr>
      <w:r w:rsidRPr="00331B33">
        <w:rPr>
          <w:rFonts w:asciiTheme="minorHAnsi" w:hAnsiTheme="minorHAnsi"/>
          <w:b/>
          <w:color w:val="000000"/>
          <w:szCs w:val="22"/>
          <w:lang w:val="en-GB"/>
        </w:rPr>
        <w:t>AIFM:</w:t>
      </w:r>
      <w:r w:rsidRPr="007030A3">
        <w:rPr>
          <w:rFonts w:asciiTheme="minorHAnsi" w:hAnsiTheme="minorHAnsi"/>
          <w:color w:val="000000"/>
          <w:szCs w:val="22"/>
          <w:lang w:val="en-GB"/>
        </w:rPr>
        <w:t xml:space="preserve"> means ‘Alternative Investment Fund Manager’</w:t>
      </w:r>
    </w:p>
    <w:p w14:paraId="330F3BFC" w14:textId="77777777" w:rsidR="000F0527" w:rsidRPr="007030A3" w:rsidRDefault="000F0527" w:rsidP="007D53AC">
      <w:pPr>
        <w:pStyle w:val="ListParagraph"/>
        <w:spacing w:line="276" w:lineRule="auto"/>
        <w:ind w:left="1152"/>
        <w:rPr>
          <w:rFonts w:asciiTheme="minorHAnsi" w:hAnsiTheme="minorHAnsi"/>
          <w:szCs w:val="22"/>
          <w:lang w:val="en-GB"/>
        </w:rPr>
      </w:pPr>
    </w:p>
    <w:p w14:paraId="0372AFF0" w14:textId="77777777" w:rsidR="006A1444" w:rsidRPr="00331B33" w:rsidRDefault="006A1444" w:rsidP="007D53AC">
      <w:pPr>
        <w:pStyle w:val="ListParagraph"/>
        <w:numPr>
          <w:ilvl w:val="0"/>
          <w:numId w:val="49"/>
        </w:numPr>
        <w:spacing w:line="276" w:lineRule="auto"/>
        <w:ind w:left="1152"/>
        <w:jc w:val="both"/>
        <w:rPr>
          <w:rFonts w:asciiTheme="minorHAnsi" w:hAnsiTheme="minorHAnsi"/>
        </w:rPr>
      </w:pPr>
      <w:r w:rsidRPr="00AA160C">
        <w:rPr>
          <w:rFonts w:asciiTheme="minorHAnsi" w:hAnsiTheme="minorHAnsi"/>
          <w:b/>
        </w:rPr>
        <w:t>Client:</w:t>
      </w:r>
      <w:r w:rsidRPr="00AA160C">
        <w:rPr>
          <w:rFonts w:asciiTheme="minorHAnsi" w:hAnsiTheme="minorHAnsi" w:cs="EUAlbertina"/>
          <w:color w:val="000000"/>
          <w:sz w:val="19"/>
          <w:szCs w:val="19"/>
        </w:rPr>
        <w:t xml:space="preserve">  </w:t>
      </w:r>
      <w:r w:rsidRPr="00AA160C">
        <w:rPr>
          <w:rFonts w:asciiTheme="minorHAnsi" w:hAnsiTheme="minorHAnsi"/>
        </w:rPr>
        <w:t>means any natural or legal person to whom an investment firm provides investment or ancillary services</w:t>
      </w:r>
      <w:r w:rsidRPr="00AA160C">
        <w:rPr>
          <w:rFonts w:asciiTheme="minorHAnsi" w:hAnsiTheme="minorHAnsi" w:cs="EUAlbertina"/>
          <w:color w:val="000000"/>
          <w:sz w:val="19"/>
          <w:szCs w:val="19"/>
        </w:rPr>
        <w:t xml:space="preserve">. </w:t>
      </w:r>
      <w:r w:rsidRPr="00AA160C">
        <w:rPr>
          <w:rFonts w:asciiTheme="minorHAnsi" w:hAnsiTheme="minorHAnsi"/>
          <w:lang w:val="en-GB"/>
        </w:rPr>
        <w:t xml:space="preserve"> </w:t>
      </w:r>
      <w:r w:rsidRPr="00E4000D">
        <w:rPr>
          <w:rFonts w:asciiTheme="minorHAnsi" w:hAnsiTheme="minorHAnsi"/>
          <w:i/>
          <w:sz w:val="18"/>
          <w:szCs w:val="18"/>
          <w:lang w:val="en-GB"/>
        </w:rPr>
        <w:t>Article 4 1(9) of MiFID II directive 2014/65/EU of the European</w:t>
      </w:r>
      <w:r w:rsidRPr="00141AF8">
        <w:rPr>
          <w:rFonts w:asciiTheme="minorHAnsi" w:hAnsiTheme="minorHAnsi"/>
          <w:i/>
          <w:sz w:val="18"/>
          <w:szCs w:val="18"/>
          <w:lang w:val="en-GB"/>
        </w:rPr>
        <w:t xml:space="preserve"> Parliament and of the Council of 15 May 2014</w:t>
      </w:r>
    </w:p>
    <w:p w14:paraId="00E9E59B" w14:textId="77777777" w:rsidR="000F0527" w:rsidRPr="00331B33" w:rsidRDefault="000F0527" w:rsidP="007D53AC">
      <w:pPr>
        <w:spacing w:line="276" w:lineRule="auto"/>
        <w:ind w:left="432"/>
        <w:jc w:val="both"/>
        <w:rPr>
          <w:rFonts w:asciiTheme="minorHAnsi" w:hAnsiTheme="minorHAnsi"/>
        </w:rPr>
      </w:pPr>
    </w:p>
    <w:p w14:paraId="61D43EDC" w14:textId="77777777" w:rsidR="006A1444" w:rsidRPr="00331B33" w:rsidRDefault="006A1444" w:rsidP="007D53AC">
      <w:pPr>
        <w:pStyle w:val="ListParagraph"/>
        <w:numPr>
          <w:ilvl w:val="0"/>
          <w:numId w:val="49"/>
        </w:numPr>
        <w:spacing w:line="276" w:lineRule="auto"/>
        <w:ind w:left="1146" w:hanging="357"/>
        <w:jc w:val="both"/>
        <w:rPr>
          <w:rFonts w:asciiTheme="minorHAnsi" w:hAnsiTheme="minorHAnsi"/>
          <w:szCs w:val="22"/>
          <w:lang w:val="en-GB"/>
        </w:rPr>
      </w:pPr>
      <w:r>
        <w:rPr>
          <w:rFonts w:asciiTheme="minorHAnsi" w:hAnsiTheme="minorHAnsi"/>
          <w:b/>
          <w:szCs w:val="22"/>
        </w:rPr>
        <w:t xml:space="preserve">Discretionary </w:t>
      </w:r>
      <w:r w:rsidRPr="00AA160C">
        <w:rPr>
          <w:rFonts w:asciiTheme="minorHAnsi" w:hAnsiTheme="minorHAnsi"/>
          <w:b/>
          <w:szCs w:val="22"/>
        </w:rPr>
        <w:t xml:space="preserve">Portfolio Management: </w:t>
      </w:r>
      <w:r w:rsidRPr="00AA160C">
        <w:rPr>
          <w:rFonts w:asciiTheme="minorHAnsi" w:hAnsiTheme="minorHAnsi"/>
          <w:szCs w:val="22"/>
        </w:rPr>
        <w:t xml:space="preserve">means managing portfolios in accordance with mandates given by clients on a discretionary client-by-client basis where such portfolios include one or more financial instruments. </w:t>
      </w:r>
      <w:r w:rsidRPr="00141AF8">
        <w:rPr>
          <w:rFonts w:asciiTheme="minorHAnsi" w:hAnsiTheme="minorHAnsi"/>
          <w:i/>
          <w:sz w:val="18"/>
          <w:szCs w:val="18"/>
          <w:lang w:val="en-GB"/>
        </w:rPr>
        <w:t>Article 4 1(8) of MiFID II directive 2014/65/EU of the European Parliament and of the Council of 15 May 2014</w:t>
      </w:r>
    </w:p>
    <w:p w14:paraId="0CC5FB23" w14:textId="77777777" w:rsidR="000F0527" w:rsidRPr="00331B33" w:rsidRDefault="000F0527" w:rsidP="007D53AC">
      <w:pPr>
        <w:spacing w:line="276" w:lineRule="auto"/>
        <w:ind w:left="432"/>
        <w:jc w:val="both"/>
        <w:rPr>
          <w:rFonts w:asciiTheme="minorHAnsi" w:hAnsiTheme="minorHAnsi"/>
          <w:szCs w:val="22"/>
          <w:lang w:val="en-GB"/>
        </w:rPr>
      </w:pPr>
    </w:p>
    <w:p w14:paraId="267C725D" w14:textId="77777777" w:rsidR="006A1444" w:rsidRPr="00331B33" w:rsidRDefault="006A1444" w:rsidP="007D53AC">
      <w:pPr>
        <w:pStyle w:val="ListParagraph"/>
        <w:numPr>
          <w:ilvl w:val="0"/>
          <w:numId w:val="49"/>
        </w:numPr>
        <w:spacing w:line="276" w:lineRule="auto"/>
        <w:ind w:left="1146" w:hanging="357"/>
        <w:jc w:val="both"/>
        <w:rPr>
          <w:rFonts w:asciiTheme="minorHAnsi" w:hAnsiTheme="minorHAnsi" w:cs="EUAlbertina"/>
          <w:b/>
          <w:color w:val="000000"/>
          <w:sz w:val="19"/>
          <w:szCs w:val="19"/>
        </w:rPr>
      </w:pPr>
      <w:r w:rsidRPr="00AA160C">
        <w:rPr>
          <w:rFonts w:asciiTheme="minorHAnsi" w:hAnsiTheme="minorHAnsi"/>
          <w:b/>
        </w:rPr>
        <w:t>Distributor:</w:t>
      </w:r>
      <w:r w:rsidRPr="00AA160C">
        <w:rPr>
          <w:rFonts w:asciiTheme="minorHAnsi" w:hAnsiTheme="minorHAnsi"/>
        </w:rPr>
        <w:t xml:space="preserve"> means investment firms that offer or sell financial instruments and services to clients. </w:t>
      </w:r>
      <w:r w:rsidRPr="00AA160C">
        <w:rPr>
          <w:rFonts w:asciiTheme="minorHAnsi" w:hAnsiTheme="minorHAnsi"/>
          <w:i/>
          <w:sz w:val="18"/>
          <w:szCs w:val="18"/>
        </w:rPr>
        <w:t>Recital 15 of Com</w:t>
      </w:r>
      <w:r>
        <w:rPr>
          <w:rFonts w:asciiTheme="minorHAnsi" w:hAnsiTheme="minorHAnsi"/>
          <w:i/>
          <w:sz w:val="18"/>
          <w:szCs w:val="18"/>
        </w:rPr>
        <w:t xml:space="preserve">mission Delegated Directive of </w:t>
      </w:r>
      <w:r w:rsidRPr="00AA160C">
        <w:rPr>
          <w:rFonts w:asciiTheme="minorHAnsi" w:hAnsiTheme="minorHAnsi"/>
          <w:i/>
          <w:sz w:val="18"/>
          <w:szCs w:val="18"/>
        </w:rPr>
        <w:t>7 April 2016</w:t>
      </w:r>
    </w:p>
    <w:p w14:paraId="70801F08" w14:textId="77777777" w:rsidR="000F0527" w:rsidRPr="00331B33" w:rsidRDefault="000F0527" w:rsidP="007D53AC">
      <w:pPr>
        <w:spacing w:line="276" w:lineRule="auto"/>
        <w:ind w:left="432"/>
        <w:jc w:val="both"/>
        <w:rPr>
          <w:rFonts w:asciiTheme="minorHAnsi" w:hAnsiTheme="minorHAnsi" w:cs="EUAlbertina"/>
          <w:b/>
          <w:color w:val="000000"/>
          <w:sz w:val="19"/>
          <w:szCs w:val="19"/>
        </w:rPr>
      </w:pPr>
    </w:p>
    <w:p w14:paraId="0F3C179B" w14:textId="77777777" w:rsidR="006A1444" w:rsidRPr="00AA160C" w:rsidRDefault="006A1444" w:rsidP="007D53AC">
      <w:pPr>
        <w:pStyle w:val="ListParagraph"/>
        <w:numPr>
          <w:ilvl w:val="0"/>
          <w:numId w:val="49"/>
        </w:numPr>
        <w:spacing w:line="276" w:lineRule="auto"/>
        <w:ind w:left="1152" w:hanging="357"/>
        <w:jc w:val="both"/>
        <w:rPr>
          <w:rFonts w:asciiTheme="minorHAnsi" w:hAnsiTheme="minorHAnsi" w:cs="EUAlbertina"/>
          <w:color w:val="000000"/>
          <w:sz w:val="19"/>
          <w:szCs w:val="19"/>
        </w:rPr>
      </w:pPr>
      <w:r w:rsidRPr="00AA160C">
        <w:rPr>
          <w:rFonts w:asciiTheme="minorHAnsi" w:hAnsiTheme="minorHAnsi"/>
          <w:b/>
        </w:rPr>
        <w:t>Durable Medium:</w:t>
      </w:r>
      <w:r w:rsidRPr="00AA160C">
        <w:rPr>
          <w:rFonts w:asciiTheme="minorHAnsi" w:hAnsiTheme="minorHAnsi" w:cs="EUAlbertina"/>
          <w:color w:val="000000"/>
          <w:sz w:val="19"/>
          <w:szCs w:val="19"/>
        </w:rPr>
        <w:t xml:space="preserve"> </w:t>
      </w:r>
      <w:r w:rsidRPr="00AA160C">
        <w:rPr>
          <w:rFonts w:asciiTheme="minorHAnsi" w:hAnsiTheme="minorHAnsi"/>
        </w:rPr>
        <w:t>means any instrument which</w:t>
      </w:r>
      <w:r w:rsidRPr="00AA160C">
        <w:rPr>
          <w:rFonts w:asciiTheme="minorHAnsi" w:hAnsiTheme="minorHAnsi" w:cs="EUAlbertina"/>
          <w:color w:val="000000"/>
          <w:sz w:val="19"/>
          <w:szCs w:val="19"/>
        </w:rPr>
        <w:t xml:space="preserve">: </w:t>
      </w:r>
    </w:p>
    <w:p w14:paraId="0F62432B" w14:textId="77777777" w:rsidR="006A1444" w:rsidRPr="00AA160C" w:rsidRDefault="006A1444" w:rsidP="007D53AC">
      <w:pPr>
        <w:pStyle w:val="ListParagraph"/>
        <w:numPr>
          <w:ilvl w:val="1"/>
          <w:numId w:val="49"/>
        </w:numPr>
        <w:spacing w:line="276" w:lineRule="auto"/>
        <w:ind w:left="1872" w:hanging="357"/>
        <w:jc w:val="both"/>
        <w:rPr>
          <w:rFonts w:asciiTheme="minorHAnsi" w:hAnsiTheme="minorHAnsi"/>
        </w:rPr>
      </w:pPr>
      <w:r w:rsidRPr="00AA160C">
        <w:rPr>
          <w:rFonts w:asciiTheme="minorHAnsi" w:hAnsiTheme="minorHAnsi"/>
        </w:rPr>
        <w:t xml:space="preserve">(a) enables a client to store information addressed personally to that client in a way accessible for future reference and for a period of time adequate for the purposes of the information; and </w:t>
      </w:r>
    </w:p>
    <w:p w14:paraId="47B78264" w14:textId="77777777" w:rsidR="006A1444" w:rsidRPr="007030A3" w:rsidRDefault="006A1444" w:rsidP="007D53AC">
      <w:pPr>
        <w:pStyle w:val="ListParagraph"/>
        <w:numPr>
          <w:ilvl w:val="1"/>
          <w:numId w:val="49"/>
        </w:numPr>
        <w:spacing w:line="276" w:lineRule="auto"/>
        <w:ind w:left="1872" w:hanging="357"/>
        <w:jc w:val="both"/>
        <w:rPr>
          <w:rFonts w:asciiTheme="minorHAnsi" w:hAnsiTheme="minorHAnsi"/>
          <w:i/>
          <w:sz w:val="18"/>
          <w:szCs w:val="18"/>
        </w:rPr>
      </w:pPr>
      <w:r w:rsidRPr="00AA160C">
        <w:rPr>
          <w:rFonts w:asciiTheme="minorHAnsi" w:hAnsiTheme="minorHAnsi"/>
        </w:rPr>
        <w:t>(b)</w:t>
      </w:r>
      <w:r w:rsidRPr="00AA160C">
        <w:rPr>
          <w:rFonts w:asciiTheme="minorHAnsi" w:hAnsiTheme="minorHAnsi" w:cs="EUAlbertina"/>
          <w:color w:val="000000"/>
          <w:sz w:val="19"/>
          <w:szCs w:val="19"/>
        </w:rPr>
        <w:t xml:space="preserve"> </w:t>
      </w:r>
      <w:r w:rsidRPr="00AA160C">
        <w:rPr>
          <w:rFonts w:asciiTheme="minorHAnsi" w:hAnsiTheme="minorHAnsi"/>
        </w:rPr>
        <w:t>allows the unchanged reproduction of the information stored</w:t>
      </w:r>
      <w:r w:rsidRPr="00AA160C">
        <w:rPr>
          <w:rFonts w:asciiTheme="minorHAnsi" w:hAnsiTheme="minorHAnsi"/>
          <w:lang w:val="en-GB"/>
        </w:rPr>
        <w:t xml:space="preserve"> </w:t>
      </w:r>
      <w:r w:rsidRPr="00AA160C">
        <w:rPr>
          <w:rFonts w:asciiTheme="minorHAnsi" w:hAnsiTheme="minorHAnsi"/>
          <w:i/>
          <w:sz w:val="18"/>
          <w:szCs w:val="18"/>
          <w:lang w:val="en-GB"/>
        </w:rPr>
        <w:t xml:space="preserve">Article 4 1(62) of </w:t>
      </w:r>
      <w:r>
        <w:rPr>
          <w:rFonts w:asciiTheme="minorHAnsi" w:hAnsiTheme="minorHAnsi"/>
          <w:i/>
          <w:sz w:val="18"/>
          <w:szCs w:val="18"/>
          <w:lang w:val="en-GB"/>
        </w:rPr>
        <w:t>MiFID</w:t>
      </w:r>
      <w:r w:rsidRPr="00AA160C">
        <w:rPr>
          <w:rFonts w:asciiTheme="minorHAnsi" w:hAnsiTheme="minorHAnsi"/>
          <w:i/>
          <w:sz w:val="18"/>
          <w:szCs w:val="18"/>
          <w:lang w:val="en-GB"/>
        </w:rPr>
        <w:t xml:space="preserve"> II directive 2014/65/EU of the Europea</w:t>
      </w:r>
      <w:r>
        <w:rPr>
          <w:rFonts w:asciiTheme="minorHAnsi" w:hAnsiTheme="minorHAnsi"/>
          <w:i/>
          <w:sz w:val="18"/>
          <w:szCs w:val="18"/>
          <w:lang w:val="en-GB"/>
        </w:rPr>
        <w:t>n Parliament and of the Council</w:t>
      </w:r>
      <w:r w:rsidRPr="00AA160C">
        <w:rPr>
          <w:rFonts w:asciiTheme="minorHAnsi" w:hAnsiTheme="minorHAnsi"/>
          <w:i/>
          <w:sz w:val="18"/>
          <w:szCs w:val="18"/>
          <w:lang w:val="en-GB"/>
        </w:rPr>
        <w:t xml:space="preserve"> of 15 May 2014</w:t>
      </w:r>
    </w:p>
    <w:p w14:paraId="7C5A4F35" w14:textId="77777777" w:rsidR="000F0527" w:rsidRPr="00331B33" w:rsidRDefault="000F0527" w:rsidP="007D53AC">
      <w:pPr>
        <w:pStyle w:val="NormalWeb"/>
        <w:spacing w:before="0" w:beforeAutospacing="0" w:after="0" w:afterAutospacing="0" w:line="276" w:lineRule="auto"/>
        <w:ind w:left="1152"/>
        <w:rPr>
          <w:rFonts w:asciiTheme="minorHAnsi" w:hAnsiTheme="minorHAnsi"/>
          <w:color w:val="000000"/>
          <w:sz w:val="22"/>
          <w:szCs w:val="22"/>
        </w:rPr>
      </w:pPr>
    </w:p>
    <w:p w14:paraId="661211E3" w14:textId="77777777" w:rsidR="006A1444" w:rsidRPr="007030A3" w:rsidRDefault="006A1444" w:rsidP="007D53AC">
      <w:pPr>
        <w:pStyle w:val="NormalWeb"/>
        <w:numPr>
          <w:ilvl w:val="0"/>
          <w:numId w:val="49"/>
        </w:numPr>
        <w:spacing w:before="0" w:beforeAutospacing="0" w:after="0" w:afterAutospacing="0" w:line="276" w:lineRule="auto"/>
        <w:ind w:left="1152"/>
        <w:rPr>
          <w:rFonts w:asciiTheme="minorHAnsi" w:hAnsiTheme="minorHAnsi"/>
          <w:color w:val="000000"/>
          <w:sz w:val="22"/>
          <w:szCs w:val="22"/>
        </w:rPr>
      </w:pPr>
      <w:r w:rsidRPr="00331B33">
        <w:rPr>
          <w:rFonts w:asciiTheme="minorHAnsi" w:hAnsiTheme="minorHAnsi"/>
          <w:b/>
          <w:color w:val="000000"/>
          <w:sz w:val="22"/>
          <w:szCs w:val="22"/>
        </w:rPr>
        <w:t>Ex-Ante disclosure:</w:t>
      </w:r>
      <w:r w:rsidRPr="007030A3">
        <w:rPr>
          <w:rFonts w:asciiTheme="minorHAnsi" w:hAnsiTheme="minorHAnsi"/>
          <w:color w:val="000000"/>
          <w:sz w:val="22"/>
          <w:szCs w:val="22"/>
        </w:rPr>
        <w:t xml:space="preserve"> means disclosure to client of indicative costs &amp; charges before the investment</w:t>
      </w:r>
    </w:p>
    <w:p w14:paraId="4FCFA7DD" w14:textId="77777777" w:rsidR="000F0527" w:rsidRPr="00331B33" w:rsidRDefault="000F0527" w:rsidP="007D53AC">
      <w:pPr>
        <w:pStyle w:val="NormalWeb"/>
        <w:spacing w:before="0" w:beforeAutospacing="0" w:after="0" w:afterAutospacing="0" w:line="276" w:lineRule="auto"/>
        <w:ind w:left="1152"/>
        <w:rPr>
          <w:rFonts w:asciiTheme="minorHAnsi" w:hAnsiTheme="minorHAnsi"/>
          <w:color w:val="000000"/>
          <w:sz w:val="22"/>
          <w:szCs w:val="22"/>
        </w:rPr>
      </w:pPr>
    </w:p>
    <w:p w14:paraId="5E453051" w14:textId="77777777" w:rsidR="006A1444" w:rsidRPr="007030A3" w:rsidRDefault="006A1444" w:rsidP="007D53AC">
      <w:pPr>
        <w:pStyle w:val="NormalWeb"/>
        <w:numPr>
          <w:ilvl w:val="0"/>
          <w:numId w:val="49"/>
        </w:numPr>
        <w:spacing w:before="0" w:beforeAutospacing="0" w:after="0" w:afterAutospacing="0" w:line="276" w:lineRule="auto"/>
        <w:ind w:left="1152"/>
        <w:rPr>
          <w:rFonts w:asciiTheme="minorHAnsi" w:hAnsiTheme="minorHAnsi"/>
          <w:color w:val="000000"/>
          <w:sz w:val="22"/>
          <w:szCs w:val="22"/>
        </w:rPr>
      </w:pPr>
      <w:r w:rsidRPr="00331B33">
        <w:rPr>
          <w:rFonts w:asciiTheme="minorHAnsi" w:hAnsiTheme="minorHAnsi"/>
          <w:b/>
          <w:color w:val="000000"/>
          <w:sz w:val="22"/>
          <w:szCs w:val="22"/>
        </w:rPr>
        <w:t>Ex-Post disclosure</w:t>
      </w:r>
      <w:r w:rsidRPr="007030A3">
        <w:rPr>
          <w:rFonts w:asciiTheme="minorHAnsi" w:hAnsiTheme="minorHAnsi"/>
          <w:color w:val="000000"/>
          <w:sz w:val="22"/>
          <w:szCs w:val="22"/>
        </w:rPr>
        <w:t>: means disclosure to client of actual personalized cost &amp; charges after the investment</w:t>
      </w:r>
    </w:p>
    <w:p w14:paraId="41558E91" w14:textId="77777777" w:rsidR="000F0527" w:rsidRPr="00331B33" w:rsidRDefault="000F0527" w:rsidP="007D53AC">
      <w:pPr>
        <w:pStyle w:val="ListParagraph"/>
        <w:spacing w:line="276" w:lineRule="auto"/>
        <w:ind w:left="1146"/>
        <w:jc w:val="both"/>
        <w:rPr>
          <w:rFonts w:asciiTheme="minorHAnsi" w:hAnsiTheme="minorHAnsi"/>
          <w:i/>
          <w:sz w:val="18"/>
          <w:szCs w:val="18"/>
        </w:rPr>
      </w:pPr>
    </w:p>
    <w:p w14:paraId="1F5B8120" w14:textId="77777777" w:rsidR="006A1444" w:rsidRPr="00CC523E" w:rsidRDefault="006A1444" w:rsidP="007D53AC">
      <w:pPr>
        <w:pStyle w:val="ListParagraph"/>
        <w:numPr>
          <w:ilvl w:val="0"/>
          <w:numId w:val="49"/>
        </w:numPr>
        <w:spacing w:line="276" w:lineRule="auto"/>
        <w:ind w:left="1146" w:hanging="357"/>
        <w:jc w:val="both"/>
        <w:rPr>
          <w:rFonts w:asciiTheme="minorHAnsi" w:hAnsiTheme="minorHAnsi"/>
          <w:i/>
          <w:sz w:val="18"/>
          <w:szCs w:val="18"/>
        </w:rPr>
      </w:pPr>
      <w:r w:rsidRPr="00AA160C">
        <w:rPr>
          <w:rFonts w:asciiTheme="minorHAnsi" w:hAnsiTheme="minorHAnsi"/>
          <w:b/>
        </w:rPr>
        <w:t>Investment Advice:</w:t>
      </w:r>
      <w:r w:rsidRPr="00AA160C">
        <w:rPr>
          <w:rFonts w:asciiTheme="minorHAnsi" w:hAnsiTheme="minorHAnsi" w:cs="EUAlbertina"/>
          <w:color w:val="000000"/>
          <w:sz w:val="19"/>
          <w:szCs w:val="19"/>
        </w:rPr>
        <w:t xml:space="preserve"> </w:t>
      </w:r>
      <w:r w:rsidRPr="00AA160C">
        <w:rPr>
          <w:rFonts w:asciiTheme="minorHAnsi" w:hAnsiTheme="minorHAnsi"/>
        </w:rPr>
        <w:t>Means the provision of personal recommendations to a client, either upon its request or at the initiative of the investment firm, in respect of one or more transactions relating to financial instruments.</w:t>
      </w:r>
      <w:r w:rsidRPr="00AA160C">
        <w:rPr>
          <w:rFonts w:asciiTheme="minorHAnsi" w:hAnsiTheme="minorHAnsi" w:cs="EUAlbertina"/>
          <w:color w:val="000000"/>
          <w:sz w:val="19"/>
          <w:szCs w:val="19"/>
        </w:rPr>
        <w:t xml:space="preserve"> </w:t>
      </w:r>
      <w:r w:rsidRPr="00AA160C">
        <w:rPr>
          <w:rFonts w:asciiTheme="minorHAnsi" w:hAnsiTheme="minorHAnsi" w:cs="EUAlbertina"/>
          <w:i/>
          <w:color w:val="000000"/>
          <w:sz w:val="19"/>
          <w:szCs w:val="19"/>
        </w:rPr>
        <w:t>A</w:t>
      </w:r>
      <w:r w:rsidRPr="00AA160C">
        <w:rPr>
          <w:rFonts w:asciiTheme="minorHAnsi" w:hAnsiTheme="minorHAnsi"/>
          <w:i/>
          <w:sz w:val="18"/>
          <w:szCs w:val="18"/>
          <w:lang w:val="en-GB"/>
        </w:rPr>
        <w:t xml:space="preserve">rticle 4   1(4) of </w:t>
      </w:r>
      <w:r>
        <w:rPr>
          <w:rFonts w:asciiTheme="minorHAnsi" w:hAnsiTheme="minorHAnsi"/>
          <w:i/>
          <w:sz w:val="18"/>
          <w:szCs w:val="18"/>
          <w:lang w:val="en-GB"/>
        </w:rPr>
        <w:t>MiFID</w:t>
      </w:r>
      <w:r w:rsidRPr="00AA160C">
        <w:rPr>
          <w:rFonts w:asciiTheme="minorHAnsi" w:hAnsiTheme="minorHAnsi"/>
          <w:i/>
          <w:sz w:val="18"/>
          <w:szCs w:val="18"/>
          <w:lang w:val="en-GB"/>
        </w:rPr>
        <w:t xml:space="preserve"> II directive 2014/65/EU of the European Parliament and of the Council of 15 May 2014</w:t>
      </w:r>
    </w:p>
    <w:p w14:paraId="6BE0B473" w14:textId="77777777" w:rsidR="000F0527" w:rsidRPr="00331B33" w:rsidRDefault="000F0527" w:rsidP="007D53AC">
      <w:pPr>
        <w:pStyle w:val="ListParagraph"/>
        <w:spacing w:line="276" w:lineRule="auto"/>
        <w:ind w:left="1146"/>
        <w:jc w:val="both"/>
        <w:rPr>
          <w:rFonts w:asciiTheme="minorHAnsi" w:hAnsiTheme="minorHAnsi"/>
        </w:rPr>
      </w:pPr>
    </w:p>
    <w:p w14:paraId="1475591B" w14:textId="77777777" w:rsidR="006A1444" w:rsidRPr="007030A3" w:rsidRDefault="006A1444" w:rsidP="007D53AC">
      <w:pPr>
        <w:pStyle w:val="ListParagraph"/>
        <w:numPr>
          <w:ilvl w:val="0"/>
          <w:numId w:val="49"/>
        </w:numPr>
        <w:spacing w:line="276" w:lineRule="auto"/>
        <w:ind w:left="1146" w:hanging="357"/>
        <w:jc w:val="both"/>
        <w:rPr>
          <w:rFonts w:asciiTheme="minorHAnsi" w:hAnsiTheme="minorHAnsi"/>
        </w:rPr>
      </w:pPr>
      <w:r w:rsidRPr="00AA160C">
        <w:rPr>
          <w:rFonts w:asciiTheme="minorHAnsi" w:hAnsiTheme="minorHAnsi"/>
          <w:b/>
        </w:rPr>
        <w:t>Investment Firm:</w:t>
      </w:r>
      <w:r w:rsidRPr="00AA160C">
        <w:rPr>
          <w:rFonts w:asciiTheme="minorHAnsi" w:hAnsiTheme="minorHAnsi" w:cs="EUAlbertina"/>
          <w:color w:val="000000"/>
          <w:sz w:val="19"/>
          <w:szCs w:val="19"/>
        </w:rPr>
        <w:t xml:space="preserve"> </w:t>
      </w:r>
      <w:r w:rsidRPr="00AA160C">
        <w:rPr>
          <w:rFonts w:asciiTheme="minorHAnsi" w:hAnsiTheme="minorHAnsi"/>
        </w:rPr>
        <w:t>means any legal person whose regular occupation or business is the provision of one or more investment services to third parties and/or the performance of one or more investment activities on a professional basis</w:t>
      </w:r>
      <w:r w:rsidRPr="00AA160C">
        <w:rPr>
          <w:rFonts w:asciiTheme="minorHAnsi" w:hAnsiTheme="minorHAnsi" w:cs="EUAlbertina"/>
          <w:color w:val="000000"/>
          <w:sz w:val="19"/>
          <w:szCs w:val="19"/>
        </w:rPr>
        <w:t>.</w:t>
      </w:r>
      <w:r w:rsidRPr="00AA160C">
        <w:rPr>
          <w:rFonts w:asciiTheme="minorHAnsi" w:hAnsiTheme="minorHAnsi"/>
          <w:lang w:val="en-GB"/>
        </w:rPr>
        <w:t xml:space="preserve"> </w:t>
      </w:r>
      <w:r w:rsidRPr="00AA160C">
        <w:rPr>
          <w:rFonts w:asciiTheme="minorHAnsi" w:hAnsiTheme="minorHAnsi"/>
          <w:i/>
          <w:sz w:val="18"/>
          <w:szCs w:val="18"/>
          <w:lang w:val="en-GB"/>
        </w:rPr>
        <w:t xml:space="preserve">Article 4  1(1)of </w:t>
      </w:r>
      <w:r>
        <w:rPr>
          <w:rFonts w:asciiTheme="minorHAnsi" w:hAnsiTheme="minorHAnsi"/>
          <w:i/>
          <w:sz w:val="18"/>
          <w:szCs w:val="18"/>
          <w:lang w:val="en-GB"/>
        </w:rPr>
        <w:t>MiFID</w:t>
      </w:r>
      <w:r w:rsidRPr="00AA160C">
        <w:rPr>
          <w:rFonts w:asciiTheme="minorHAnsi" w:hAnsiTheme="minorHAnsi"/>
          <w:i/>
          <w:sz w:val="18"/>
          <w:szCs w:val="18"/>
          <w:lang w:val="en-GB"/>
        </w:rPr>
        <w:t xml:space="preserve"> II directive 2014/65/EU of the European Parliament and of the Council  of 15 May 2014 </w:t>
      </w:r>
    </w:p>
    <w:p w14:paraId="060C4B61" w14:textId="77777777" w:rsidR="000F0527" w:rsidRPr="00331B33" w:rsidRDefault="000F0527" w:rsidP="007D53AC">
      <w:pPr>
        <w:pStyle w:val="ListParagraph"/>
        <w:spacing w:line="276" w:lineRule="auto"/>
        <w:ind w:left="1152"/>
        <w:rPr>
          <w:rFonts w:asciiTheme="minorHAnsi" w:hAnsiTheme="minorHAnsi"/>
          <w:szCs w:val="22"/>
          <w:lang w:val="en-GB"/>
        </w:rPr>
      </w:pPr>
    </w:p>
    <w:p w14:paraId="74E8284A" w14:textId="77777777" w:rsidR="006A1444" w:rsidRPr="007030A3" w:rsidRDefault="006A1444" w:rsidP="007D53AC">
      <w:pPr>
        <w:pStyle w:val="ListParagraph"/>
        <w:numPr>
          <w:ilvl w:val="0"/>
          <w:numId w:val="49"/>
        </w:numPr>
        <w:spacing w:line="276" w:lineRule="auto"/>
        <w:ind w:left="1152"/>
        <w:rPr>
          <w:rFonts w:asciiTheme="minorHAnsi" w:hAnsiTheme="minorHAnsi"/>
          <w:szCs w:val="22"/>
          <w:lang w:val="en-GB"/>
        </w:rPr>
      </w:pPr>
      <w:r w:rsidRPr="00331B33">
        <w:rPr>
          <w:rFonts w:asciiTheme="minorHAnsi" w:hAnsiTheme="minorHAnsi"/>
          <w:b/>
          <w:color w:val="000000"/>
          <w:szCs w:val="22"/>
          <w:lang w:val="en-GB"/>
        </w:rPr>
        <w:lastRenderedPageBreak/>
        <w:t>Ongoing relationship:</w:t>
      </w:r>
      <w:r w:rsidRPr="007030A3">
        <w:rPr>
          <w:rFonts w:asciiTheme="minorHAnsi" w:hAnsiTheme="minorHAnsi"/>
          <w:color w:val="000000"/>
          <w:szCs w:val="22"/>
          <w:lang w:val="en-GB"/>
        </w:rPr>
        <w:t xml:space="preserve"> means more than one interaction with the client spread over a period of time</w:t>
      </w:r>
    </w:p>
    <w:p w14:paraId="478DBA04" w14:textId="77777777" w:rsidR="000F0527" w:rsidRPr="00331B33" w:rsidRDefault="000F0527" w:rsidP="007D53AC">
      <w:pPr>
        <w:pStyle w:val="ListParagraph"/>
        <w:spacing w:line="276" w:lineRule="auto"/>
        <w:ind w:left="1146"/>
        <w:jc w:val="both"/>
      </w:pPr>
    </w:p>
    <w:p w14:paraId="095E83AA" w14:textId="77777777" w:rsidR="006A1444" w:rsidRPr="00AA160C" w:rsidRDefault="006A1444" w:rsidP="007D53AC">
      <w:pPr>
        <w:pStyle w:val="ListParagraph"/>
        <w:numPr>
          <w:ilvl w:val="0"/>
          <w:numId w:val="49"/>
        </w:numPr>
        <w:spacing w:line="276" w:lineRule="auto"/>
        <w:ind w:left="1146" w:hanging="357"/>
        <w:jc w:val="both"/>
      </w:pPr>
      <w:r w:rsidRPr="00AA160C">
        <w:rPr>
          <w:rFonts w:asciiTheme="minorHAnsi" w:hAnsiTheme="minorHAnsi"/>
          <w:b/>
        </w:rPr>
        <w:t xml:space="preserve">PRIIP- refers </w:t>
      </w:r>
      <w:r w:rsidRPr="00AA160C">
        <w:rPr>
          <w:rFonts w:asciiTheme="minorHAnsi" w:hAnsiTheme="minorHAnsi"/>
        </w:rPr>
        <w:t>to Packaged Retail and Insurance based investment product</w:t>
      </w:r>
      <w:r w:rsidRPr="00AA160C">
        <w:rPr>
          <w:rFonts w:asciiTheme="minorHAnsi" w:hAnsiTheme="minorHAnsi" w:cs="EUAlbertina"/>
          <w:color w:val="000000"/>
          <w:sz w:val="19"/>
          <w:szCs w:val="19"/>
        </w:rPr>
        <w:t xml:space="preserve"> – </w:t>
      </w:r>
      <w:r w:rsidRPr="00AA160C">
        <w:rPr>
          <w:rFonts w:asciiTheme="minorHAnsi" w:hAnsiTheme="minorHAnsi"/>
          <w:i/>
          <w:sz w:val="18"/>
          <w:szCs w:val="18"/>
          <w:lang w:val="en-GB"/>
        </w:rPr>
        <w:t>Article 4 of Regulation 1286/2014 of the European Parliament and Council of 26 Nov 2014</w:t>
      </w:r>
    </w:p>
    <w:p w14:paraId="754591CE" w14:textId="77777777" w:rsidR="000F0527" w:rsidRPr="00331B33" w:rsidRDefault="000F0527" w:rsidP="007D53AC">
      <w:pPr>
        <w:pStyle w:val="ListParagraph"/>
        <w:spacing w:line="276" w:lineRule="auto"/>
        <w:ind w:left="1146"/>
        <w:jc w:val="both"/>
        <w:rPr>
          <w:rFonts w:asciiTheme="minorHAnsi" w:hAnsiTheme="minorHAnsi"/>
          <w:i/>
          <w:szCs w:val="22"/>
        </w:rPr>
      </w:pPr>
    </w:p>
    <w:p w14:paraId="09EDD013" w14:textId="77777777" w:rsidR="006A1444" w:rsidRPr="00141AF8" w:rsidRDefault="006A1444" w:rsidP="007D53AC">
      <w:pPr>
        <w:pStyle w:val="ListParagraph"/>
        <w:numPr>
          <w:ilvl w:val="0"/>
          <w:numId w:val="49"/>
        </w:numPr>
        <w:spacing w:line="276" w:lineRule="auto"/>
        <w:ind w:left="1146" w:hanging="357"/>
        <w:jc w:val="both"/>
        <w:rPr>
          <w:rFonts w:asciiTheme="minorHAnsi" w:hAnsiTheme="minorHAnsi"/>
          <w:i/>
          <w:sz w:val="18"/>
          <w:szCs w:val="18"/>
          <w:lang w:val="en-GB"/>
        </w:rPr>
      </w:pPr>
      <w:r w:rsidRPr="00AA160C">
        <w:rPr>
          <w:rFonts w:asciiTheme="minorHAnsi" w:hAnsiTheme="minorHAnsi"/>
          <w:b/>
          <w:szCs w:val="22"/>
        </w:rPr>
        <w:t>Product manufacturer:</w:t>
      </w:r>
      <w:r w:rsidRPr="00AA160C">
        <w:rPr>
          <w:rFonts w:asciiTheme="minorHAnsi" w:hAnsiTheme="minorHAnsi"/>
          <w:szCs w:val="22"/>
        </w:rPr>
        <w:t xml:space="preserve"> means an investment firm that creates, develops, issues and/or designs financial instruments, including when advising corporate issuers on the launch of new financial instruments –</w:t>
      </w:r>
      <w:r w:rsidRPr="00141AF8">
        <w:rPr>
          <w:rFonts w:asciiTheme="minorHAnsi" w:hAnsiTheme="minorHAnsi"/>
          <w:i/>
          <w:sz w:val="18"/>
          <w:szCs w:val="18"/>
          <w:lang w:val="en-GB"/>
        </w:rPr>
        <w:t>Recital 15 of Commission Delegated Directive of 7 April 2016</w:t>
      </w:r>
    </w:p>
    <w:p w14:paraId="52BF6A86" w14:textId="77777777" w:rsidR="000F0527" w:rsidRPr="00331B33" w:rsidRDefault="000F0527" w:rsidP="007D53AC">
      <w:pPr>
        <w:pStyle w:val="ListParagraph"/>
        <w:autoSpaceDE w:val="0"/>
        <w:autoSpaceDN w:val="0"/>
        <w:adjustRightInd w:val="0"/>
        <w:spacing w:line="276" w:lineRule="auto"/>
        <w:ind w:left="1146"/>
        <w:contextualSpacing w:val="0"/>
        <w:jc w:val="both"/>
        <w:rPr>
          <w:rFonts w:asciiTheme="minorHAnsi" w:hAnsiTheme="minorHAnsi"/>
          <w:i/>
          <w:szCs w:val="22"/>
          <w:lang w:val="en-GB"/>
        </w:rPr>
      </w:pPr>
    </w:p>
    <w:p w14:paraId="03542F0A" w14:textId="5A007301" w:rsidR="006A1444" w:rsidRPr="00CC523E" w:rsidRDefault="006A1444" w:rsidP="007D53AC">
      <w:pPr>
        <w:pStyle w:val="ListParagraph"/>
        <w:numPr>
          <w:ilvl w:val="0"/>
          <w:numId w:val="49"/>
        </w:numPr>
        <w:autoSpaceDE w:val="0"/>
        <w:autoSpaceDN w:val="0"/>
        <w:adjustRightInd w:val="0"/>
        <w:spacing w:line="276" w:lineRule="auto"/>
        <w:ind w:left="1146" w:hanging="357"/>
        <w:contextualSpacing w:val="0"/>
        <w:jc w:val="both"/>
        <w:rPr>
          <w:rFonts w:asciiTheme="minorHAnsi" w:hAnsiTheme="minorHAnsi"/>
          <w:i/>
          <w:szCs w:val="22"/>
          <w:lang w:val="en-GB"/>
        </w:rPr>
      </w:pPr>
      <w:r w:rsidRPr="00AA160C">
        <w:rPr>
          <w:rFonts w:asciiTheme="minorHAnsi" w:hAnsiTheme="minorHAnsi"/>
          <w:b/>
          <w:szCs w:val="22"/>
        </w:rPr>
        <w:t>Provision of information in good time</w:t>
      </w:r>
      <w:r w:rsidRPr="00AA160C">
        <w:rPr>
          <w:rFonts w:asciiTheme="minorHAnsi" w:hAnsiTheme="minorHAnsi"/>
          <w:szCs w:val="22"/>
        </w:rPr>
        <w:t>: In determining what constitutes the provision of information in good time before a time specified in this Directive, an investment firm should take into account, having regard to the urgency of the situation, the client’s need for sufficient time to read and understand it before taking an investment decision. A client is likely to require more time to review information given on a complex or unfamiliar product or service, or a product or service a client has no experience with than a client considering a simpler or more familiar product or service, or where the clien</w:t>
      </w:r>
      <w:r>
        <w:rPr>
          <w:rFonts w:asciiTheme="minorHAnsi" w:hAnsiTheme="minorHAnsi"/>
          <w:szCs w:val="22"/>
        </w:rPr>
        <w:t>t has relevant prior experience:</w:t>
      </w:r>
      <w:r w:rsidRPr="00AA160C">
        <w:rPr>
          <w:rFonts w:asciiTheme="minorHAnsi" w:hAnsiTheme="minorHAnsi"/>
          <w:szCs w:val="22"/>
          <w:lang w:val="en-GB"/>
        </w:rPr>
        <w:t xml:space="preserve"> </w:t>
      </w:r>
      <w:r w:rsidRPr="00141AF8">
        <w:rPr>
          <w:rFonts w:asciiTheme="minorHAnsi" w:hAnsiTheme="minorHAnsi"/>
          <w:i/>
          <w:sz w:val="18"/>
          <w:szCs w:val="18"/>
          <w:lang w:val="en-GB"/>
        </w:rPr>
        <w:t xml:space="preserve">Recital 83 of MiFID II directive 2014/65/EU of the European Parliament and of the </w:t>
      </w:r>
      <w:r w:rsidR="00187142" w:rsidRPr="00141AF8">
        <w:rPr>
          <w:rFonts w:asciiTheme="minorHAnsi" w:hAnsiTheme="minorHAnsi"/>
          <w:i/>
          <w:sz w:val="18"/>
          <w:szCs w:val="18"/>
          <w:lang w:val="en-GB"/>
        </w:rPr>
        <w:t>Council of</w:t>
      </w:r>
      <w:r w:rsidRPr="00141AF8">
        <w:rPr>
          <w:rFonts w:asciiTheme="minorHAnsi" w:hAnsiTheme="minorHAnsi"/>
          <w:i/>
          <w:sz w:val="18"/>
          <w:szCs w:val="18"/>
          <w:lang w:val="en-GB"/>
        </w:rPr>
        <w:t xml:space="preserve"> 15 May 2014</w:t>
      </w:r>
    </w:p>
    <w:p w14:paraId="4A161339" w14:textId="77777777" w:rsidR="000F0527" w:rsidRPr="00331B33" w:rsidRDefault="000F0527" w:rsidP="007D53AC">
      <w:pPr>
        <w:pStyle w:val="ListParagraph"/>
        <w:autoSpaceDE w:val="0"/>
        <w:autoSpaceDN w:val="0"/>
        <w:adjustRightInd w:val="0"/>
        <w:spacing w:line="276" w:lineRule="auto"/>
        <w:ind w:left="1146"/>
        <w:contextualSpacing w:val="0"/>
        <w:jc w:val="both"/>
        <w:rPr>
          <w:rFonts w:asciiTheme="minorHAnsi" w:hAnsiTheme="minorHAnsi"/>
          <w:i/>
          <w:szCs w:val="22"/>
          <w:lang w:val="en-GB"/>
        </w:rPr>
      </w:pPr>
    </w:p>
    <w:p w14:paraId="4F9D46B5" w14:textId="77777777" w:rsidR="006A1444" w:rsidRPr="00CC523E" w:rsidRDefault="006A1444" w:rsidP="007D53AC">
      <w:pPr>
        <w:pStyle w:val="ListParagraph"/>
        <w:numPr>
          <w:ilvl w:val="0"/>
          <w:numId w:val="49"/>
        </w:numPr>
        <w:autoSpaceDE w:val="0"/>
        <w:autoSpaceDN w:val="0"/>
        <w:adjustRightInd w:val="0"/>
        <w:spacing w:line="276" w:lineRule="auto"/>
        <w:ind w:left="1146" w:hanging="357"/>
        <w:contextualSpacing w:val="0"/>
        <w:jc w:val="both"/>
        <w:rPr>
          <w:rFonts w:asciiTheme="minorHAnsi" w:hAnsiTheme="minorHAnsi"/>
          <w:i/>
          <w:szCs w:val="22"/>
          <w:lang w:val="en-GB"/>
        </w:rPr>
      </w:pPr>
      <w:r w:rsidRPr="00AA160C">
        <w:rPr>
          <w:rFonts w:asciiTheme="minorHAnsi" w:hAnsiTheme="minorHAnsi"/>
          <w:b/>
          <w:szCs w:val="22"/>
        </w:rPr>
        <w:t xml:space="preserve">UCITS Management Company: </w:t>
      </w:r>
      <w:r w:rsidRPr="00AA160C">
        <w:rPr>
          <w:rFonts w:asciiTheme="minorHAnsi" w:hAnsiTheme="minorHAnsi"/>
          <w:szCs w:val="22"/>
        </w:rPr>
        <w:t>means a management company as defined in point (b) of Article 2(1) of Directive 2009/65/EC of the European Parliament and of the Council</w:t>
      </w:r>
      <w:r w:rsidRPr="00AA160C">
        <w:rPr>
          <w:rFonts w:asciiTheme="minorHAnsi" w:hAnsiTheme="minorHAnsi"/>
          <w:b/>
          <w:szCs w:val="22"/>
        </w:rPr>
        <w:t xml:space="preserve">. </w:t>
      </w:r>
      <w:r w:rsidRPr="00141AF8">
        <w:rPr>
          <w:rFonts w:asciiTheme="minorHAnsi" w:hAnsiTheme="minorHAnsi"/>
          <w:i/>
          <w:sz w:val="18"/>
          <w:szCs w:val="18"/>
          <w:lang w:val="en-GB"/>
        </w:rPr>
        <w:t>Article 4 1 (28) of MiFID II directive 2014/65/EU of the European Parliament and of the Council of 15 May 2014</w:t>
      </w:r>
    </w:p>
    <w:p w14:paraId="42ED8A59" w14:textId="1DD2AB0A" w:rsidR="005350C4" w:rsidRDefault="005350C4" w:rsidP="007D53AC">
      <w:pPr>
        <w:spacing w:after="160" w:line="276" w:lineRule="auto"/>
        <w:ind w:left="432"/>
        <w:rPr>
          <w:rFonts w:asciiTheme="minorHAnsi" w:hAnsiTheme="minorHAnsi"/>
        </w:rPr>
      </w:pPr>
      <w:r>
        <w:rPr>
          <w:rFonts w:asciiTheme="minorHAnsi" w:hAnsiTheme="minorHAnsi"/>
        </w:rPr>
        <w:br w:type="page"/>
      </w:r>
    </w:p>
    <w:p w14:paraId="745E4A52" w14:textId="77777777" w:rsidR="007D16BB" w:rsidRPr="00A14F30" w:rsidRDefault="007D16BB" w:rsidP="007D16BB">
      <w:pPr>
        <w:jc w:val="both"/>
        <w:rPr>
          <w:rFonts w:asciiTheme="minorHAnsi" w:hAnsiTheme="minorHAnsi"/>
        </w:rPr>
      </w:pPr>
    </w:p>
    <w:p w14:paraId="7BE7682F" w14:textId="77777777" w:rsidR="005350C4" w:rsidRPr="00F4412D" w:rsidRDefault="005350C4" w:rsidP="00F4412D">
      <w:pPr>
        <w:pStyle w:val="Heading1"/>
        <w:rPr>
          <w:rFonts w:asciiTheme="minorHAnsi" w:hAnsiTheme="minorHAnsi"/>
          <w:b/>
          <w:bCs/>
          <w:color w:val="auto"/>
          <w:sz w:val="28"/>
          <w:szCs w:val="28"/>
        </w:rPr>
      </w:pPr>
      <w:bookmarkStart w:id="722" w:name="_Toc364001924"/>
      <w:bookmarkStart w:id="723" w:name="_Toc364343181"/>
      <w:bookmarkStart w:id="724" w:name="_Toc364343367"/>
      <w:bookmarkStart w:id="725" w:name="_Toc364343727"/>
      <w:bookmarkStart w:id="726" w:name="_Toc364635792"/>
      <w:bookmarkStart w:id="727" w:name="_Toc364636184"/>
      <w:bookmarkStart w:id="728" w:name="_Toc364636620"/>
      <w:bookmarkStart w:id="729" w:name="_Toc366502114"/>
      <w:bookmarkStart w:id="730" w:name="_Toc369907895"/>
      <w:bookmarkStart w:id="731" w:name="_Toc370052412"/>
      <w:bookmarkStart w:id="732" w:name="_Toc372234560"/>
      <w:bookmarkStart w:id="733" w:name="_Toc395871088"/>
      <w:bookmarkStart w:id="734" w:name="_Toc409468259"/>
      <w:r w:rsidRPr="00F4412D">
        <w:rPr>
          <w:rFonts w:asciiTheme="minorHAnsi" w:hAnsiTheme="minorHAnsi"/>
          <w:b/>
          <w:bCs/>
          <w:color w:val="auto"/>
          <w:sz w:val="28"/>
          <w:szCs w:val="28"/>
        </w:rPr>
        <w:t>APPENDIX</w:t>
      </w:r>
      <w:bookmarkEnd w:id="722"/>
      <w:bookmarkEnd w:id="723"/>
      <w:bookmarkEnd w:id="724"/>
      <w:bookmarkEnd w:id="725"/>
      <w:bookmarkEnd w:id="726"/>
      <w:bookmarkEnd w:id="727"/>
      <w:bookmarkEnd w:id="728"/>
      <w:bookmarkEnd w:id="729"/>
      <w:bookmarkEnd w:id="730"/>
      <w:bookmarkEnd w:id="731"/>
      <w:bookmarkEnd w:id="732"/>
      <w:bookmarkEnd w:id="733"/>
      <w:bookmarkEnd w:id="734"/>
    </w:p>
    <w:p w14:paraId="7794D6DF" w14:textId="77777777" w:rsidR="005350C4" w:rsidRDefault="005350C4" w:rsidP="005350C4">
      <w:pPr>
        <w:pStyle w:val="Default"/>
        <w:jc w:val="both"/>
        <w:rPr>
          <w:rFonts w:ascii="Segoe UI" w:hAnsi="Segoe UI" w:cs="Segoe UI"/>
          <w:color w:val="FF0000"/>
          <w:sz w:val="20"/>
          <w:szCs w:val="20"/>
        </w:rPr>
      </w:pPr>
    </w:p>
    <w:p w14:paraId="24041656" w14:textId="05EF2868" w:rsidR="005350C4" w:rsidRPr="0057630E" w:rsidRDefault="00E4462C" w:rsidP="00094024">
      <w:pPr>
        <w:pStyle w:val="Heading3"/>
        <w:rPr>
          <w:rFonts w:asciiTheme="minorHAnsi" w:hAnsiTheme="minorHAnsi"/>
          <w:color w:val="auto"/>
          <w:szCs w:val="22"/>
        </w:rPr>
      </w:pPr>
      <w:bookmarkStart w:id="735" w:name="_Toc364001925"/>
      <w:bookmarkStart w:id="736" w:name="_Toc364343182"/>
      <w:bookmarkStart w:id="737" w:name="_Toc364343368"/>
      <w:bookmarkStart w:id="738" w:name="_Toc364343728"/>
      <w:bookmarkStart w:id="739" w:name="_Toc364635793"/>
      <w:bookmarkStart w:id="740" w:name="_Toc364636185"/>
      <w:bookmarkStart w:id="741" w:name="_Toc364636621"/>
      <w:bookmarkStart w:id="742" w:name="_Toc366502115"/>
      <w:bookmarkStart w:id="743" w:name="_Toc369907896"/>
      <w:bookmarkStart w:id="744" w:name="_Toc370052413"/>
      <w:bookmarkStart w:id="745" w:name="_Toc372234561"/>
      <w:bookmarkStart w:id="746" w:name="_Toc395871089"/>
      <w:bookmarkStart w:id="747" w:name="_Toc409468260"/>
      <w:r w:rsidRPr="0057630E">
        <w:rPr>
          <w:rFonts w:asciiTheme="minorHAnsi" w:hAnsiTheme="minorHAnsi"/>
          <w:color w:val="auto"/>
          <w:szCs w:val="22"/>
        </w:rPr>
        <w:t>MiFID II</w:t>
      </w:r>
      <w:r w:rsidR="005350C4" w:rsidRPr="0057630E">
        <w:rPr>
          <w:rFonts w:asciiTheme="minorHAnsi" w:hAnsiTheme="minorHAnsi"/>
          <w:color w:val="auto"/>
          <w:szCs w:val="22"/>
        </w:rPr>
        <w:t xml:space="preserve"> Directive 2014/65/EU</w:t>
      </w:r>
      <w:bookmarkEnd w:id="735"/>
      <w:bookmarkEnd w:id="736"/>
      <w:bookmarkEnd w:id="737"/>
      <w:bookmarkEnd w:id="738"/>
      <w:bookmarkEnd w:id="739"/>
      <w:bookmarkEnd w:id="740"/>
      <w:bookmarkEnd w:id="741"/>
      <w:bookmarkEnd w:id="742"/>
      <w:bookmarkEnd w:id="743"/>
      <w:bookmarkEnd w:id="744"/>
      <w:bookmarkEnd w:id="745"/>
      <w:bookmarkEnd w:id="746"/>
      <w:bookmarkEnd w:id="747"/>
    </w:p>
    <w:p w14:paraId="4BD99551" w14:textId="77777777" w:rsidR="005350C4" w:rsidRPr="0057630E" w:rsidRDefault="005350C4" w:rsidP="005350C4">
      <w:pPr>
        <w:pStyle w:val="CM3"/>
        <w:spacing w:before="60" w:after="60"/>
        <w:rPr>
          <w:rFonts w:asciiTheme="minorHAnsi" w:hAnsiTheme="minorHAnsi" w:cs="EUAlbertina"/>
          <w:color w:val="000000"/>
          <w:sz w:val="22"/>
          <w:szCs w:val="22"/>
        </w:rPr>
      </w:pPr>
    </w:p>
    <w:p w14:paraId="7542277A" w14:textId="77777777" w:rsidR="005350C4" w:rsidRPr="0057630E" w:rsidRDefault="005350C4" w:rsidP="005350C4">
      <w:pPr>
        <w:pStyle w:val="CM4"/>
        <w:spacing w:before="60" w:after="60"/>
        <w:jc w:val="center"/>
        <w:rPr>
          <w:rFonts w:asciiTheme="minorHAnsi" w:hAnsiTheme="minorHAnsi" w:cs="Segoe UI"/>
          <w:b/>
          <w:color w:val="000000"/>
          <w:sz w:val="22"/>
          <w:szCs w:val="22"/>
        </w:rPr>
      </w:pPr>
      <w:r w:rsidRPr="0057630E">
        <w:rPr>
          <w:rFonts w:asciiTheme="minorHAnsi" w:hAnsiTheme="minorHAnsi" w:cs="Segoe UI"/>
          <w:b/>
          <w:color w:val="000000"/>
          <w:sz w:val="22"/>
          <w:szCs w:val="22"/>
        </w:rPr>
        <w:t>S e c t i o n 2</w:t>
      </w:r>
    </w:p>
    <w:p w14:paraId="05F17879" w14:textId="77777777" w:rsidR="005350C4" w:rsidRPr="0057630E" w:rsidRDefault="005350C4" w:rsidP="005350C4">
      <w:pPr>
        <w:pStyle w:val="CM4"/>
        <w:spacing w:before="60" w:after="60"/>
        <w:jc w:val="center"/>
        <w:rPr>
          <w:rFonts w:asciiTheme="minorHAnsi" w:hAnsiTheme="minorHAnsi" w:cs="Segoe UI"/>
          <w:b/>
          <w:color w:val="000000"/>
          <w:sz w:val="22"/>
          <w:szCs w:val="22"/>
        </w:rPr>
      </w:pPr>
      <w:r w:rsidRPr="0057630E">
        <w:rPr>
          <w:rFonts w:asciiTheme="minorHAnsi" w:hAnsiTheme="minorHAnsi" w:cs="Segoe UI"/>
          <w:b/>
          <w:bCs/>
          <w:color w:val="000000"/>
          <w:sz w:val="22"/>
          <w:szCs w:val="22"/>
        </w:rPr>
        <w:t>Provisions to ensure investor protection</w:t>
      </w:r>
    </w:p>
    <w:p w14:paraId="1BA764E5" w14:textId="77777777" w:rsidR="005350C4" w:rsidRPr="0057630E" w:rsidRDefault="005350C4" w:rsidP="005350C4">
      <w:pPr>
        <w:pStyle w:val="CM4"/>
        <w:spacing w:before="60" w:after="60"/>
        <w:jc w:val="center"/>
        <w:rPr>
          <w:rFonts w:asciiTheme="minorHAnsi" w:hAnsiTheme="minorHAnsi" w:cs="Segoe UI"/>
          <w:b/>
          <w:color w:val="000000"/>
          <w:sz w:val="22"/>
          <w:szCs w:val="22"/>
        </w:rPr>
      </w:pPr>
      <w:r w:rsidRPr="0057630E">
        <w:rPr>
          <w:rFonts w:asciiTheme="minorHAnsi" w:hAnsiTheme="minorHAnsi" w:cs="Segoe UI"/>
          <w:b/>
          <w:iCs/>
          <w:color w:val="000000"/>
          <w:sz w:val="22"/>
          <w:szCs w:val="22"/>
        </w:rPr>
        <w:t>Article 24</w:t>
      </w:r>
    </w:p>
    <w:p w14:paraId="7FD65BBC" w14:textId="77777777" w:rsidR="005350C4" w:rsidRPr="0057630E" w:rsidRDefault="005350C4" w:rsidP="005350C4">
      <w:pPr>
        <w:pStyle w:val="CM4"/>
        <w:spacing w:before="60" w:after="60"/>
        <w:jc w:val="center"/>
        <w:rPr>
          <w:rFonts w:asciiTheme="minorHAnsi" w:hAnsiTheme="minorHAnsi" w:cs="Segoe UI"/>
          <w:b/>
          <w:color w:val="000000"/>
          <w:sz w:val="22"/>
          <w:szCs w:val="22"/>
        </w:rPr>
      </w:pPr>
      <w:r w:rsidRPr="0057630E">
        <w:rPr>
          <w:rFonts w:asciiTheme="minorHAnsi" w:hAnsiTheme="minorHAnsi" w:cs="Segoe UI"/>
          <w:b/>
          <w:bCs/>
          <w:color w:val="000000"/>
          <w:sz w:val="22"/>
          <w:szCs w:val="22"/>
        </w:rPr>
        <w:t>General principles and information to clients</w:t>
      </w:r>
    </w:p>
    <w:p w14:paraId="5D8A447D" w14:textId="77777777" w:rsidR="005350C4" w:rsidRPr="0057630E" w:rsidRDefault="005350C4" w:rsidP="005350C4">
      <w:pPr>
        <w:pStyle w:val="CM4"/>
        <w:spacing w:before="60" w:after="6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1. Member States shall require that, when providing investment services or, where appropriate, ancillary services to clients, an investment firm act honestly, fairly and professionally in accordance with the best interests of its clients and comply, in particular, with the principles set out in this Article and in Article 25. </w:t>
      </w:r>
    </w:p>
    <w:p w14:paraId="03C0D5C1" w14:textId="77777777" w:rsidR="00830CB7" w:rsidRPr="0057630E" w:rsidRDefault="00830CB7" w:rsidP="005350C4">
      <w:pPr>
        <w:pStyle w:val="CM4"/>
        <w:spacing w:before="60" w:after="60"/>
        <w:jc w:val="both"/>
        <w:rPr>
          <w:rFonts w:asciiTheme="minorHAnsi" w:hAnsiTheme="minorHAnsi" w:cs="Segoe UI"/>
          <w:color w:val="000000"/>
          <w:sz w:val="22"/>
          <w:szCs w:val="22"/>
        </w:rPr>
      </w:pPr>
    </w:p>
    <w:p w14:paraId="1C725FBB" w14:textId="77777777" w:rsidR="005350C4" w:rsidRPr="0057630E" w:rsidRDefault="005350C4" w:rsidP="005350C4">
      <w:pPr>
        <w:pStyle w:val="CM4"/>
        <w:spacing w:before="60" w:after="6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2. Investment firms which manufacture financial instruments for sale to clients shall ensure that those financial instruments are designed to meet the needs of an identified target market of end clients within the relevant category of clients, the strategy for distribution of the financial instruments is compatible with the identified target market, and the investment firm takes reasonable steps to ensure that the financial instrument is distributed to the identified target market. </w:t>
      </w:r>
    </w:p>
    <w:p w14:paraId="39F3E892" w14:textId="77777777" w:rsidR="00830CB7" w:rsidRPr="0057630E" w:rsidRDefault="00830CB7" w:rsidP="005350C4">
      <w:pPr>
        <w:pStyle w:val="CM4"/>
        <w:spacing w:before="60" w:after="60"/>
        <w:jc w:val="both"/>
        <w:rPr>
          <w:rFonts w:asciiTheme="minorHAnsi" w:hAnsiTheme="minorHAnsi" w:cs="Segoe UI"/>
          <w:color w:val="000000"/>
          <w:sz w:val="22"/>
          <w:szCs w:val="22"/>
        </w:rPr>
      </w:pPr>
    </w:p>
    <w:p w14:paraId="6ACF471F" w14:textId="77777777" w:rsidR="005350C4" w:rsidRPr="0057630E" w:rsidRDefault="005350C4" w:rsidP="005350C4">
      <w:pPr>
        <w:pStyle w:val="CM4"/>
        <w:spacing w:before="60" w:after="6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An investment firm shall understand the financial instruments they offer or recommend, assess the compatibility of the financial instruments with the needs of the clients to whom it provides investment services, also taking account of the identified target market of end clients as referred to in Article 16(3), and ensure that financial instruments are offered or recommended only when this is in the interest of the client. </w:t>
      </w:r>
    </w:p>
    <w:p w14:paraId="2538F593" w14:textId="77777777" w:rsidR="00830CB7" w:rsidRPr="0057630E" w:rsidRDefault="00830CB7" w:rsidP="005350C4">
      <w:pPr>
        <w:pStyle w:val="CM4"/>
        <w:spacing w:before="60" w:after="60"/>
        <w:jc w:val="both"/>
        <w:rPr>
          <w:rFonts w:asciiTheme="minorHAnsi" w:hAnsiTheme="minorHAnsi" w:cs="Segoe UI"/>
          <w:color w:val="000000"/>
          <w:sz w:val="22"/>
          <w:szCs w:val="22"/>
        </w:rPr>
      </w:pPr>
    </w:p>
    <w:p w14:paraId="2CE86753" w14:textId="77777777" w:rsidR="005350C4" w:rsidRPr="0057630E" w:rsidRDefault="005350C4" w:rsidP="005350C4">
      <w:pPr>
        <w:pStyle w:val="CM4"/>
        <w:spacing w:before="60" w:after="6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3. All information, including marketing communications, addressed by the investment firm to clients or potential clients shall be fair, clear and not misleading. Marketing communications shall be clearly identifiable as such. </w:t>
      </w:r>
    </w:p>
    <w:p w14:paraId="5793A83E" w14:textId="77777777" w:rsidR="00830CB7" w:rsidRPr="0057630E" w:rsidRDefault="00830CB7" w:rsidP="005350C4">
      <w:pPr>
        <w:pStyle w:val="CM4"/>
        <w:spacing w:before="60" w:after="60"/>
        <w:jc w:val="both"/>
        <w:rPr>
          <w:rFonts w:asciiTheme="minorHAnsi" w:hAnsiTheme="minorHAnsi" w:cs="Segoe UI"/>
          <w:color w:val="000000"/>
          <w:sz w:val="22"/>
          <w:szCs w:val="22"/>
        </w:rPr>
      </w:pPr>
    </w:p>
    <w:p w14:paraId="6AD0A6C1" w14:textId="77777777" w:rsidR="005350C4" w:rsidRPr="0057630E" w:rsidRDefault="005350C4" w:rsidP="005350C4">
      <w:pPr>
        <w:pStyle w:val="CM4"/>
        <w:spacing w:before="60" w:after="6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4. Appropriate information shall be provided in good time to clients or potential clients with regard to the investment firm and its services, the financial instruments and proposed investment strategies, execution venues and all costs and related charges. That information shall include the following: </w:t>
      </w:r>
    </w:p>
    <w:p w14:paraId="4C412D68" w14:textId="77777777" w:rsidR="00830CB7" w:rsidRPr="0057630E" w:rsidRDefault="00830CB7" w:rsidP="00331B33">
      <w:pPr>
        <w:pStyle w:val="CM4"/>
        <w:spacing w:before="60" w:after="60"/>
        <w:ind w:left="720"/>
        <w:jc w:val="both"/>
        <w:rPr>
          <w:rFonts w:asciiTheme="minorHAnsi" w:hAnsiTheme="minorHAnsi" w:cs="Segoe UI"/>
          <w:color w:val="000000"/>
          <w:sz w:val="22"/>
          <w:szCs w:val="22"/>
        </w:rPr>
      </w:pPr>
    </w:p>
    <w:p w14:paraId="619A1E84" w14:textId="77777777" w:rsidR="005350C4" w:rsidRPr="0057630E" w:rsidRDefault="005350C4" w:rsidP="00331B33">
      <w:pPr>
        <w:pStyle w:val="CM4"/>
        <w:spacing w:before="60" w:after="60"/>
        <w:ind w:left="72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(a) when investment advice is provided, the investment firm must, in good time before it provides investment advice, inform the client: </w:t>
      </w:r>
    </w:p>
    <w:p w14:paraId="70919713" w14:textId="4C04C3E7" w:rsidR="005350C4" w:rsidRPr="0057630E" w:rsidRDefault="005350C4" w:rsidP="00331B33">
      <w:pPr>
        <w:pStyle w:val="CM4"/>
        <w:spacing w:before="60" w:after="60"/>
        <w:ind w:left="144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(i) whether or not the advice is provided on an independent basis; </w:t>
      </w:r>
    </w:p>
    <w:p w14:paraId="7B376A88" w14:textId="77777777" w:rsidR="00830CB7" w:rsidRPr="0057630E" w:rsidRDefault="00830CB7" w:rsidP="00331B33">
      <w:pPr>
        <w:pStyle w:val="CM4"/>
        <w:spacing w:before="60" w:after="60"/>
        <w:ind w:left="1440"/>
        <w:jc w:val="both"/>
        <w:rPr>
          <w:rFonts w:asciiTheme="minorHAnsi" w:hAnsiTheme="minorHAnsi" w:cs="Segoe UI"/>
          <w:color w:val="000000"/>
          <w:sz w:val="22"/>
          <w:szCs w:val="22"/>
        </w:rPr>
      </w:pPr>
    </w:p>
    <w:p w14:paraId="1C5DAE0A" w14:textId="77777777" w:rsidR="005350C4" w:rsidRPr="0057630E" w:rsidRDefault="005350C4" w:rsidP="00331B33">
      <w:pPr>
        <w:pStyle w:val="CM4"/>
        <w:spacing w:before="60" w:after="60"/>
        <w:ind w:left="1440"/>
        <w:jc w:val="both"/>
        <w:rPr>
          <w:rFonts w:asciiTheme="minorHAnsi" w:hAnsiTheme="minorHAnsi" w:cs="Segoe UI"/>
          <w:color w:val="000000"/>
          <w:sz w:val="22"/>
          <w:szCs w:val="22"/>
        </w:rPr>
      </w:pPr>
      <w:r w:rsidRPr="0057630E">
        <w:rPr>
          <w:rFonts w:asciiTheme="minorHAnsi" w:hAnsiTheme="minorHAnsi" w:cs="Segoe UI"/>
          <w:color w:val="000000"/>
          <w:sz w:val="22"/>
          <w:szCs w:val="22"/>
        </w:rPr>
        <w:t xml:space="preserve">(ii) whether the advice is based on a broad or on a more restricted analysis of different types of financial instruments and, in particular, whether the range is limited to financial instruments issued or provided by entities having close links with </w:t>
      </w:r>
      <w:r w:rsidRPr="0057630E">
        <w:rPr>
          <w:rFonts w:asciiTheme="minorHAnsi" w:hAnsiTheme="minorHAnsi" w:cs="Segoe UI"/>
          <w:color w:val="000000"/>
          <w:sz w:val="22"/>
          <w:szCs w:val="22"/>
        </w:rPr>
        <w:lastRenderedPageBreak/>
        <w:t xml:space="preserve">the investment firm or any other legal or economic relationships, such as contractual relationships, so close as to pose a risk of impairing the independent basis of the advice provided; </w:t>
      </w:r>
    </w:p>
    <w:p w14:paraId="631A77CD" w14:textId="77777777" w:rsidR="00830CB7" w:rsidRPr="0057630E" w:rsidRDefault="00830CB7" w:rsidP="00331B33">
      <w:pPr>
        <w:pStyle w:val="CM4"/>
        <w:spacing w:before="60" w:after="60"/>
        <w:ind w:left="1440"/>
        <w:jc w:val="both"/>
        <w:rPr>
          <w:rFonts w:asciiTheme="minorHAnsi" w:hAnsiTheme="minorHAnsi" w:cs="Segoe UI"/>
          <w:color w:val="000000"/>
          <w:sz w:val="22"/>
          <w:szCs w:val="22"/>
        </w:rPr>
      </w:pPr>
    </w:p>
    <w:p w14:paraId="50EA6C1B" w14:textId="07827F50" w:rsidR="005350C4" w:rsidRPr="0057630E" w:rsidRDefault="005350C4" w:rsidP="00331B33">
      <w:pPr>
        <w:pStyle w:val="CM4"/>
        <w:spacing w:before="60" w:after="60"/>
        <w:ind w:left="1440"/>
        <w:jc w:val="both"/>
        <w:rPr>
          <w:rFonts w:asciiTheme="minorHAnsi" w:hAnsiTheme="minorHAnsi" w:cs="Segoe UI"/>
          <w:color w:val="000000"/>
          <w:sz w:val="22"/>
          <w:szCs w:val="22"/>
        </w:rPr>
      </w:pPr>
      <w:r w:rsidRPr="0057630E">
        <w:rPr>
          <w:rFonts w:asciiTheme="minorHAnsi" w:hAnsiTheme="minorHAnsi" w:cs="Segoe UI"/>
          <w:color w:val="000000"/>
          <w:sz w:val="22"/>
          <w:szCs w:val="22"/>
        </w:rPr>
        <w:t>(iii) whether the investment firm will provide the client with a periodic assessment of the suitability of the financial instruments recommended to that client;</w:t>
      </w:r>
      <w:r w:rsidR="000368AA" w:rsidRPr="0057630E">
        <w:rPr>
          <w:rFonts w:asciiTheme="minorHAnsi" w:hAnsiTheme="minorHAnsi" w:cs="Segoe UI"/>
          <w:color w:val="000000"/>
          <w:sz w:val="22"/>
          <w:szCs w:val="22"/>
        </w:rPr>
        <w:t xml:space="preserve"> </w:t>
      </w:r>
      <w:r w:rsidRPr="0057630E">
        <w:rPr>
          <w:rFonts w:asciiTheme="minorHAnsi" w:hAnsiTheme="minorHAnsi" w:cs="Segoe UI"/>
          <w:color w:val="000000"/>
          <w:sz w:val="22"/>
          <w:szCs w:val="22"/>
        </w:rPr>
        <w:t>EN 12.6.2014 Official Journal of the European Union L 173/405</w:t>
      </w:r>
    </w:p>
    <w:p w14:paraId="205F4B7D" w14:textId="2E944D9D" w:rsidR="005350C4" w:rsidRPr="0057630E" w:rsidRDefault="005350C4" w:rsidP="00331B33">
      <w:pPr>
        <w:pStyle w:val="CM3"/>
        <w:spacing w:before="60" w:after="60"/>
        <w:ind w:left="720"/>
        <w:jc w:val="both"/>
        <w:rPr>
          <w:rFonts w:asciiTheme="minorHAnsi" w:hAnsiTheme="minorHAnsi" w:cs="Segoe UI"/>
          <w:color w:val="000000"/>
          <w:sz w:val="19"/>
          <w:szCs w:val="19"/>
        </w:rPr>
      </w:pPr>
    </w:p>
    <w:p w14:paraId="02DFB143" w14:textId="77777777" w:rsidR="005350C4" w:rsidRPr="0057630E" w:rsidRDefault="005350C4" w:rsidP="00331B33">
      <w:pPr>
        <w:pStyle w:val="CM4"/>
        <w:spacing w:before="60" w:after="60"/>
        <w:ind w:left="720"/>
        <w:jc w:val="both"/>
        <w:rPr>
          <w:rFonts w:asciiTheme="minorHAnsi" w:hAnsiTheme="minorHAnsi" w:cs="Segoe UI"/>
          <w:sz w:val="22"/>
          <w:szCs w:val="22"/>
        </w:rPr>
      </w:pPr>
      <w:r w:rsidRPr="0057630E">
        <w:rPr>
          <w:rFonts w:asciiTheme="minorHAnsi" w:hAnsiTheme="minorHAnsi" w:cs="Segoe UI"/>
          <w:sz w:val="22"/>
          <w:szCs w:val="22"/>
        </w:rPr>
        <w:t xml:space="preserve">(b) the information on financial instruments and proposed investment strategies must include appropriate guidance on and warnings of the risks associated with investments in those instruments or in respect of particular investment strategies and whether the financial instrument is intended for retail or professional clients, taking account of the identified target market in accordance with paragraph 2; </w:t>
      </w:r>
    </w:p>
    <w:p w14:paraId="435BE908" w14:textId="77777777" w:rsidR="00830CB7" w:rsidRPr="0057630E" w:rsidRDefault="00830CB7" w:rsidP="00331B33">
      <w:pPr>
        <w:pStyle w:val="CM4"/>
        <w:spacing w:before="60" w:after="60"/>
        <w:ind w:left="720"/>
        <w:jc w:val="both"/>
        <w:rPr>
          <w:rFonts w:asciiTheme="minorHAnsi" w:hAnsiTheme="minorHAnsi" w:cs="Segoe UI"/>
          <w:sz w:val="22"/>
          <w:szCs w:val="22"/>
        </w:rPr>
      </w:pPr>
    </w:p>
    <w:p w14:paraId="5AA00951" w14:textId="77777777" w:rsidR="005350C4" w:rsidRPr="0057630E" w:rsidRDefault="005350C4" w:rsidP="00331B33">
      <w:pPr>
        <w:pStyle w:val="CM4"/>
        <w:spacing w:before="60" w:after="60"/>
        <w:ind w:left="720"/>
        <w:jc w:val="both"/>
        <w:rPr>
          <w:rFonts w:asciiTheme="minorHAnsi" w:hAnsiTheme="minorHAnsi" w:cs="Segoe UI"/>
          <w:sz w:val="22"/>
          <w:szCs w:val="22"/>
        </w:rPr>
      </w:pPr>
      <w:r w:rsidRPr="0057630E">
        <w:rPr>
          <w:rFonts w:asciiTheme="minorHAnsi" w:hAnsiTheme="minorHAnsi" w:cs="Segoe UI"/>
          <w:sz w:val="22"/>
          <w:szCs w:val="22"/>
        </w:rPr>
        <w:t xml:space="preserve">(c) the information on all costs and associated charges must include information relating to both investment and ancillary services, including the cost of advice, where relevant, the cost of the financial instrument recommended or marketed to the client and how the client may pay for it, also encompassing any third-party payments. </w:t>
      </w:r>
    </w:p>
    <w:p w14:paraId="1EF0FD9C" w14:textId="77777777" w:rsidR="000F0527" w:rsidRPr="0057630E" w:rsidRDefault="000F0527" w:rsidP="000368AA">
      <w:pPr>
        <w:pStyle w:val="Default"/>
        <w:jc w:val="both"/>
        <w:rPr>
          <w:rFonts w:asciiTheme="minorHAnsi" w:hAnsiTheme="minorHAnsi" w:cs="Segoe UI"/>
          <w:color w:val="auto"/>
          <w:sz w:val="22"/>
          <w:szCs w:val="22"/>
        </w:rPr>
      </w:pPr>
    </w:p>
    <w:p w14:paraId="48924830" w14:textId="77777777" w:rsidR="005350C4" w:rsidRPr="0057630E" w:rsidRDefault="005350C4" w:rsidP="000368AA">
      <w:pPr>
        <w:pStyle w:val="Default"/>
        <w:jc w:val="both"/>
        <w:rPr>
          <w:rFonts w:asciiTheme="minorHAnsi" w:hAnsiTheme="minorHAnsi" w:cs="Segoe UI"/>
          <w:color w:val="auto"/>
          <w:sz w:val="22"/>
          <w:szCs w:val="22"/>
        </w:rPr>
      </w:pPr>
      <w:r w:rsidRPr="0057630E">
        <w:rPr>
          <w:rFonts w:asciiTheme="minorHAnsi" w:hAnsiTheme="minorHAnsi" w:cs="Segoe UI"/>
          <w:color w:val="auto"/>
          <w:sz w:val="22"/>
          <w:szCs w:val="22"/>
        </w:rPr>
        <w:t>The information about all costs and charges, including costs and charges in connection with the investment service and the financial instrument, which are not caused by the occurrence of underlying market risk, shall be aggregated to allow the client to understand the overall cost as well as the cumulative effect on return of the investment, and where the client so requests, an itemised breakdown shall be provided. Where applicable, such information shall be provided to the client on a regular basis, at least annually, during the life of the investment.</w:t>
      </w:r>
    </w:p>
    <w:p w14:paraId="2EE8292A" w14:textId="77777777" w:rsidR="005350C4" w:rsidRPr="0057630E" w:rsidRDefault="005350C4" w:rsidP="000368AA">
      <w:pPr>
        <w:pStyle w:val="Default"/>
        <w:jc w:val="both"/>
        <w:rPr>
          <w:rFonts w:asciiTheme="minorHAnsi" w:hAnsiTheme="minorHAnsi" w:cs="Segoe UI"/>
          <w:color w:val="auto"/>
          <w:sz w:val="22"/>
          <w:szCs w:val="22"/>
        </w:rPr>
      </w:pPr>
    </w:p>
    <w:p w14:paraId="15D76362" w14:textId="76BDB62A" w:rsidR="005350C4" w:rsidRPr="0057630E" w:rsidRDefault="00E7220A" w:rsidP="0050733D">
      <w:pPr>
        <w:autoSpaceDE w:val="0"/>
        <w:autoSpaceDN w:val="0"/>
        <w:adjustRightInd w:val="0"/>
        <w:ind w:left="0"/>
        <w:jc w:val="both"/>
        <w:rPr>
          <w:rFonts w:asciiTheme="minorHAnsi" w:hAnsiTheme="minorHAnsi"/>
          <w:szCs w:val="22"/>
        </w:rPr>
      </w:pPr>
      <w:r w:rsidRPr="0057630E">
        <w:rPr>
          <w:rFonts w:asciiTheme="minorHAnsi" w:hAnsiTheme="minorHAnsi" w:cs="Segoe UI"/>
          <w:szCs w:val="22"/>
        </w:rPr>
        <w:t>5. The information referred to in paragraphs 4 and 9 shall be provided in a comprehensible form in such a manner that clients or potential clients are reasonably able to understand the nature and risks of the investment service and of the specific type of financial instrument that is being offered and, consequently, to take investment decisions on an informed basis. Member States may allow that information to be provided in a standardised format.</w:t>
      </w:r>
    </w:p>
    <w:p w14:paraId="030C689E" w14:textId="77777777" w:rsidR="005350C4" w:rsidRPr="0057630E" w:rsidRDefault="005350C4" w:rsidP="0050733D">
      <w:pPr>
        <w:autoSpaceDE w:val="0"/>
        <w:autoSpaceDN w:val="0"/>
        <w:adjustRightInd w:val="0"/>
        <w:ind w:left="0"/>
        <w:jc w:val="both"/>
        <w:rPr>
          <w:rFonts w:asciiTheme="minorHAnsi" w:hAnsiTheme="minorHAnsi"/>
          <w:szCs w:val="22"/>
        </w:rPr>
      </w:pPr>
    </w:p>
    <w:p w14:paraId="0E1629DA" w14:textId="3B3C2339" w:rsidR="005350C4" w:rsidRPr="0057630E" w:rsidRDefault="000F0527" w:rsidP="000368AA">
      <w:pPr>
        <w:pStyle w:val="Heading3"/>
        <w:jc w:val="both"/>
        <w:rPr>
          <w:rFonts w:asciiTheme="minorHAnsi" w:hAnsiTheme="minorHAnsi"/>
          <w:color w:val="auto"/>
          <w:szCs w:val="22"/>
        </w:rPr>
      </w:pPr>
      <w:bookmarkStart w:id="748" w:name="_Toc364001926"/>
      <w:bookmarkStart w:id="749" w:name="_Toc364343183"/>
      <w:bookmarkStart w:id="750" w:name="_Toc364343369"/>
      <w:bookmarkStart w:id="751" w:name="_Toc364343729"/>
      <w:bookmarkStart w:id="752" w:name="_Toc364635794"/>
      <w:bookmarkStart w:id="753" w:name="_Toc364636186"/>
      <w:bookmarkStart w:id="754" w:name="_Toc364636622"/>
      <w:bookmarkStart w:id="755" w:name="_Toc366502116"/>
      <w:bookmarkStart w:id="756" w:name="_Toc369907897"/>
      <w:bookmarkStart w:id="757" w:name="_Toc370052414"/>
      <w:bookmarkStart w:id="758" w:name="_Toc372234562"/>
      <w:bookmarkStart w:id="759" w:name="_Toc395871090"/>
      <w:bookmarkStart w:id="760" w:name="_Toc409468261"/>
      <w:r w:rsidRPr="0057630E">
        <w:rPr>
          <w:rFonts w:asciiTheme="minorHAnsi" w:hAnsiTheme="minorHAnsi"/>
          <w:color w:val="auto"/>
          <w:szCs w:val="22"/>
        </w:rPr>
        <w:t xml:space="preserve">MIFID II </w:t>
      </w:r>
      <w:r w:rsidR="005350C4" w:rsidRPr="0057630E">
        <w:rPr>
          <w:rFonts w:asciiTheme="minorHAnsi" w:hAnsiTheme="minorHAnsi"/>
          <w:color w:val="auto"/>
          <w:szCs w:val="22"/>
        </w:rPr>
        <w:t>Delegated Regulation - Article 50</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0350495F" w14:textId="77777777" w:rsidR="005350C4" w:rsidRPr="0057630E" w:rsidRDefault="005350C4" w:rsidP="000368AA">
      <w:pPr>
        <w:jc w:val="both"/>
        <w:rPr>
          <w:rFonts w:asciiTheme="minorHAnsi" w:hAnsiTheme="minorHAnsi"/>
          <w:lang w:val="x-none"/>
        </w:rPr>
      </w:pPr>
    </w:p>
    <w:p w14:paraId="3A1B7C55" w14:textId="77777777" w:rsidR="005350C4" w:rsidRPr="0057630E" w:rsidRDefault="005350C4" w:rsidP="000368AA">
      <w:pPr>
        <w:jc w:val="both"/>
        <w:rPr>
          <w:rFonts w:asciiTheme="minorHAnsi" w:hAnsiTheme="minorHAnsi" w:cs="Segoe UI"/>
          <w:b/>
          <w:szCs w:val="22"/>
        </w:rPr>
      </w:pPr>
      <w:r w:rsidRPr="0057630E">
        <w:rPr>
          <w:rFonts w:asciiTheme="minorHAnsi" w:hAnsiTheme="minorHAnsi" w:cs="Segoe UI"/>
          <w:b/>
          <w:szCs w:val="22"/>
        </w:rPr>
        <w:t>Information on costs and associated charges</w:t>
      </w:r>
    </w:p>
    <w:p w14:paraId="4B7D92E9" w14:textId="77777777" w:rsidR="005350C4" w:rsidRPr="0057630E" w:rsidRDefault="005350C4" w:rsidP="000368AA">
      <w:pPr>
        <w:jc w:val="both"/>
        <w:rPr>
          <w:rFonts w:asciiTheme="minorHAnsi" w:hAnsiTheme="minorHAnsi" w:cs="Segoe UI"/>
          <w:b/>
          <w:szCs w:val="22"/>
        </w:rPr>
      </w:pPr>
      <w:r w:rsidRPr="0057630E">
        <w:rPr>
          <w:rFonts w:asciiTheme="minorHAnsi" w:hAnsiTheme="minorHAnsi" w:cs="Segoe UI"/>
          <w:b/>
          <w:i/>
          <w:iCs/>
          <w:szCs w:val="22"/>
        </w:rPr>
        <w:t>(Article 24(4) of Directive 2014/65/EU)</w:t>
      </w:r>
    </w:p>
    <w:p w14:paraId="2B79D0CF" w14:textId="77777777" w:rsidR="005350C4" w:rsidRPr="0057630E" w:rsidRDefault="005350C4" w:rsidP="000368AA">
      <w:pPr>
        <w:autoSpaceDE w:val="0"/>
        <w:autoSpaceDN w:val="0"/>
        <w:adjustRightInd w:val="0"/>
        <w:jc w:val="both"/>
        <w:rPr>
          <w:rFonts w:asciiTheme="minorHAnsi" w:hAnsiTheme="minorHAnsi"/>
          <w:szCs w:val="22"/>
        </w:rPr>
      </w:pPr>
    </w:p>
    <w:p w14:paraId="7B4C58B5" w14:textId="07966F0C" w:rsidR="005350C4" w:rsidRPr="0057630E" w:rsidRDefault="005350C4" w:rsidP="000368AA">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1. For the purposes of providing information to clients on all costs and charges pursuant to Article 24(4) of Directive 2014/65/EU, investment firms shall comply with the detailed requirements in paragraphs 2 to 10.</w:t>
      </w:r>
    </w:p>
    <w:p w14:paraId="211A4359" w14:textId="77777777" w:rsidR="000F0527" w:rsidRPr="0057630E" w:rsidRDefault="000F0527" w:rsidP="000368AA">
      <w:pPr>
        <w:autoSpaceDE w:val="0"/>
        <w:autoSpaceDN w:val="0"/>
        <w:adjustRightInd w:val="0"/>
        <w:jc w:val="both"/>
        <w:rPr>
          <w:rFonts w:asciiTheme="minorHAnsi" w:hAnsiTheme="minorHAnsi" w:cs="Segoe UI"/>
          <w:szCs w:val="22"/>
        </w:rPr>
      </w:pPr>
    </w:p>
    <w:p w14:paraId="3AF40AD8" w14:textId="77777777" w:rsidR="005350C4" w:rsidRPr="0057630E" w:rsidRDefault="005350C4" w:rsidP="000368AA">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Without prejudice to the obligations set out in Article 24(4) of Directive 2014/65/EU, investment firms providing investment services to professional clients shall have the right to agree to a limited application of the detailed requirements set out in this Article with these clients. Investment firms shall not be allowed to agree such limitations when the services of investment advice or portfolio management are provided or when, irrespective of the investment service provided, the financial instruments concerned embed a derivative.</w:t>
      </w:r>
    </w:p>
    <w:p w14:paraId="4DC668E1" w14:textId="77777777" w:rsidR="000F0527" w:rsidRPr="0057630E" w:rsidRDefault="000F0527" w:rsidP="000368AA">
      <w:pPr>
        <w:autoSpaceDE w:val="0"/>
        <w:autoSpaceDN w:val="0"/>
        <w:adjustRightInd w:val="0"/>
        <w:jc w:val="both"/>
        <w:rPr>
          <w:rFonts w:asciiTheme="minorHAnsi" w:hAnsiTheme="minorHAnsi" w:cs="Segoe UI"/>
          <w:szCs w:val="22"/>
        </w:rPr>
      </w:pPr>
    </w:p>
    <w:p w14:paraId="3F50DA4F" w14:textId="77777777" w:rsidR="005350C4" w:rsidRPr="0057630E" w:rsidRDefault="005350C4" w:rsidP="000368AA">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Without prejudice to the obligations set out in Article 24(4) of Directive 2014/65/EU, investment firms providing investment services to eligible counterparties shall have the right to agree to a limited application of the detailed requirements set out in this Article, except when, irrespective of the investment service provided, the financial instruments concerned embed a derivative and the eligible counterparty intends to offer them to its clients.</w:t>
      </w:r>
    </w:p>
    <w:p w14:paraId="1BD3DA60" w14:textId="77777777" w:rsidR="005350C4" w:rsidRPr="0057630E" w:rsidRDefault="005350C4" w:rsidP="000368AA">
      <w:pPr>
        <w:autoSpaceDE w:val="0"/>
        <w:autoSpaceDN w:val="0"/>
        <w:adjustRightInd w:val="0"/>
        <w:jc w:val="both"/>
        <w:rPr>
          <w:rFonts w:asciiTheme="minorHAnsi" w:hAnsiTheme="minorHAnsi" w:cs="Segoe UI"/>
          <w:szCs w:val="22"/>
        </w:rPr>
      </w:pPr>
    </w:p>
    <w:p w14:paraId="296D47E7" w14:textId="14298935" w:rsidR="005350C4" w:rsidRPr="0057630E" w:rsidRDefault="005350C4" w:rsidP="000368AA">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 xml:space="preserve">2. For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A</w:t>
      </w:r>
      <w:r w:rsidRPr="0057630E">
        <w:rPr>
          <w:rFonts w:asciiTheme="minorHAnsi" w:hAnsiTheme="minorHAnsi" w:cs="Segoe UI"/>
          <w:szCs w:val="22"/>
        </w:rPr>
        <w:t xml:space="preserve">nte and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P</w:t>
      </w:r>
      <w:r w:rsidRPr="0057630E">
        <w:rPr>
          <w:rFonts w:asciiTheme="minorHAnsi" w:hAnsiTheme="minorHAnsi" w:cs="Segoe UI"/>
          <w:szCs w:val="22"/>
        </w:rPr>
        <w:t>ost disclosure of information on costs and charges to clients, investment firms shall aggregate the following:</w:t>
      </w:r>
    </w:p>
    <w:p w14:paraId="76C65084" w14:textId="77777777" w:rsidR="00830CB7" w:rsidRPr="0057630E" w:rsidRDefault="00830CB7" w:rsidP="00331B33">
      <w:pPr>
        <w:autoSpaceDE w:val="0"/>
        <w:autoSpaceDN w:val="0"/>
        <w:adjustRightInd w:val="0"/>
        <w:ind w:left="1440"/>
        <w:jc w:val="both"/>
        <w:rPr>
          <w:rFonts w:asciiTheme="minorHAnsi" w:hAnsiTheme="minorHAnsi" w:cs="Segoe UI"/>
          <w:szCs w:val="22"/>
        </w:rPr>
      </w:pPr>
    </w:p>
    <w:p w14:paraId="606C3724" w14:textId="6082C1B0" w:rsidR="005350C4" w:rsidRPr="0057630E" w:rsidRDefault="005350C4" w:rsidP="00331B33">
      <w:pPr>
        <w:autoSpaceDE w:val="0"/>
        <w:autoSpaceDN w:val="0"/>
        <w:adjustRightInd w:val="0"/>
        <w:ind w:left="1440"/>
        <w:jc w:val="both"/>
        <w:rPr>
          <w:rFonts w:asciiTheme="minorHAnsi" w:hAnsiTheme="minorHAnsi" w:cs="Segoe UI"/>
          <w:szCs w:val="22"/>
        </w:rPr>
      </w:pPr>
      <w:r w:rsidRPr="0057630E">
        <w:rPr>
          <w:rFonts w:asciiTheme="minorHAnsi" w:hAnsiTheme="minorHAnsi" w:cs="Segoe UI"/>
          <w:szCs w:val="22"/>
        </w:rPr>
        <w:t>(a) all costs and associated charges charged by the investment firm or other parties where the client has been directed to such other parties, for the investment services(s) and/or ancillary services provided to the client; and</w:t>
      </w:r>
    </w:p>
    <w:p w14:paraId="58324CCA" w14:textId="77777777" w:rsidR="00830CB7" w:rsidRPr="0057630E" w:rsidRDefault="00830CB7" w:rsidP="00331B33">
      <w:pPr>
        <w:autoSpaceDE w:val="0"/>
        <w:autoSpaceDN w:val="0"/>
        <w:adjustRightInd w:val="0"/>
        <w:ind w:left="1440"/>
        <w:jc w:val="both"/>
        <w:rPr>
          <w:rFonts w:asciiTheme="minorHAnsi" w:hAnsiTheme="minorHAnsi" w:cs="Segoe UI"/>
          <w:szCs w:val="22"/>
        </w:rPr>
      </w:pPr>
    </w:p>
    <w:p w14:paraId="328C5232" w14:textId="77777777" w:rsidR="005350C4" w:rsidRPr="0057630E" w:rsidRDefault="005350C4" w:rsidP="00331B33">
      <w:pPr>
        <w:autoSpaceDE w:val="0"/>
        <w:autoSpaceDN w:val="0"/>
        <w:adjustRightInd w:val="0"/>
        <w:ind w:left="1440"/>
        <w:jc w:val="both"/>
        <w:rPr>
          <w:rFonts w:asciiTheme="minorHAnsi" w:hAnsiTheme="minorHAnsi" w:cs="Segoe UI"/>
          <w:szCs w:val="22"/>
        </w:rPr>
      </w:pPr>
      <w:r w:rsidRPr="0057630E">
        <w:rPr>
          <w:rFonts w:asciiTheme="minorHAnsi" w:hAnsiTheme="minorHAnsi" w:cs="Segoe UI"/>
          <w:szCs w:val="22"/>
        </w:rPr>
        <w:t>(b) all costs and associated charges associated with the manufacturing and managing of the financial instruments.</w:t>
      </w:r>
    </w:p>
    <w:p w14:paraId="37E09530" w14:textId="77777777" w:rsidR="000F0527" w:rsidRPr="0057630E" w:rsidRDefault="000F0527" w:rsidP="005350C4">
      <w:pPr>
        <w:autoSpaceDE w:val="0"/>
        <w:autoSpaceDN w:val="0"/>
        <w:adjustRightInd w:val="0"/>
        <w:jc w:val="both"/>
        <w:rPr>
          <w:rFonts w:asciiTheme="minorHAnsi" w:hAnsiTheme="minorHAnsi" w:cs="Segoe UI"/>
          <w:color w:val="000000"/>
          <w:szCs w:val="22"/>
        </w:rPr>
      </w:pPr>
    </w:p>
    <w:p w14:paraId="4C3A1424" w14:textId="77777777" w:rsidR="005350C4" w:rsidRPr="0057630E" w:rsidRDefault="005350C4" w:rsidP="005350C4">
      <w:pPr>
        <w:autoSpaceDE w:val="0"/>
        <w:autoSpaceDN w:val="0"/>
        <w:adjustRightInd w:val="0"/>
        <w:jc w:val="both"/>
        <w:rPr>
          <w:rFonts w:asciiTheme="minorHAnsi" w:hAnsiTheme="minorHAnsi" w:cs="Segoe UI"/>
          <w:color w:val="000000"/>
          <w:szCs w:val="22"/>
        </w:rPr>
      </w:pPr>
      <w:r w:rsidRPr="0057630E">
        <w:rPr>
          <w:rFonts w:asciiTheme="minorHAnsi" w:hAnsiTheme="minorHAnsi" w:cs="Segoe UI"/>
          <w:color w:val="000000"/>
          <w:szCs w:val="22"/>
        </w:rPr>
        <w:t>Costs referred to in points (a) and (b) are listed in Annex II to this Regulation. For the purposes of point (a), third party payments received by investment firms in connection with the investment service provided to a client shall be itemised separately and the aggregated costs and charges shall be totalled and expressed both as a cash amount and as a percentage.</w:t>
      </w:r>
    </w:p>
    <w:p w14:paraId="6B2389F5" w14:textId="77777777" w:rsidR="005350C4" w:rsidRPr="0057630E" w:rsidRDefault="005350C4" w:rsidP="005350C4">
      <w:pPr>
        <w:autoSpaceDE w:val="0"/>
        <w:autoSpaceDN w:val="0"/>
        <w:adjustRightInd w:val="0"/>
        <w:jc w:val="both"/>
        <w:rPr>
          <w:rFonts w:asciiTheme="minorHAnsi" w:hAnsiTheme="minorHAnsi" w:cs="Segoe UI"/>
          <w:color w:val="000000"/>
          <w:szCs w:val="22"/>
        </w:rPr>
      </w:pPr>
    </w:p>
    <w:p w14:paraId="4D7076E3" w14:textId="77777777" w:rsidR="005350C4" w:rsidRPr="0057630E" w:rsidRDefault="005350C4" w:rsidP="005350C4">
      <w:pPr>
        <w:autoSpaceDE w:val="0"/>
        <w:autoSpaceDN w:val="0"/>
        <w:adjustRightInd w:val="0"/>
        <w:jc w:val="both"/>
        <w:rPr>
          <w:rFonts w:asciiTheme="minorHAnsi" w:hAnsiTheme="minorHAnsi" w:cs="Segoe UI"/>
          <w:color w:val="000000"/>
          <w:szCs w:val="22"/>
        </w:rPr>
      </w:pPr>
      <w:r w:rsidRPr="0057630E">
        <w:rPr>
          <w:rFonts w:asciiTheme="minorHAnsi" w:hAnsiTheme="minorHAnsi" w:cs="Segoe UI"/>
          <w:color w:val="000000"/>
          <w:szCs w:val="22"/>
        </w:rPr>
        <w:t>3. Where any part of the total costs and charges is to be paid in or represents an amount of foreign currency, investment firms shall provide an indication of the currency involved and the applicable currency conversion rates and costs. Investments firms shall also inform about the arrangements for payment or other performance.</w:t>
      </w:r>
    </w:p>
    <w:p w14:paraId="6E8DB81B" w14:textId="77777777" w:rsidR="005350C4" w:rsidRPr="0057630E" w:rsidRDefault="005350C4" w:rsidP="005350C4">
      <w:pPr>
        <w:autoSpaceDE w:val="0"/>
        <w:autoSpaceDN w:val="0"/>
        <w:adjustRightInd w:val="0"/>
        <w:jc w:val="both"/>
        <w:rPr>
          <w:rFonts w:asciiTheme="minorHAnsi" w:hAnsiTheme="minorHAnsi" w:cs="Segoe UI"/>
          <w:color w:val="000000"/>
          <w:szCs w:val="22"/>
        </w:rPr>
      </w:pPr>
    </w:p>
    <w:p w14:paraId="4DDCD540" w14:textId="77777777" w:rsidR="005350C4" w:rsidRPr="0057630E" w:rsidRDefault="005350C4" w:rsidP="005350C4">
      <w:pPr>
        <w:autoSpaceDE w:val="0"/>
        <w:autoSpaceDN w:val="0"/>
        <w:adjustRightInd w:val="0"/>
        <w:jc w:val="both"/>
        <w:rPr>
          <w:rFonts w:asciiTheme="minorHAnsi" w:hAnsiTheme="minorHAnsi" w:cs="Segoe UI"/>
          <w:color w:val="000000"/>
          <w:szCs w:val="22"/>
        </w:rPr>
      </w:pPr>
      <w:r w:rsidRPr="0057630E">
        <w:rPr>
          <w:rFonts w:asciiTheme="minorHAnsi" w:hAnsiTheme="minorHAnsi" w:cs="Segoe UI"/>
          <w:color w:val="000000"/>
          <w:szCs w:val="22"/>
        </w:rPr>
        <w:t xml:space="preserve">4. In relation to the disclosure of product costs and charges that are not included in the UCITS KIID, the investment firms shall calculate and disclose these costs, for example, by liaising with UCITS management companies to obtain the relevant information. </w:t>
      </w:r>
    </w:p>
    <w:p w14:paraId="2BEDD264" w14:textId="77777777" w:rsidR="005350C4" w:rsidRPr="0057630E" w:rsidRDefault="005350C4" w:rsidP="005350C4">
      <w:pPr>
        <w:autoSpaceDE w:val="0"/>
        <w:autoSpaceDN w:val="0"/>
        <w:adjustRightInd w:val="0"/>
        <w:jc w:val="both"/>
        <w:rPr>
          <w:rFonts w:asciiTheme="minorHAnsi" w:hAnsiTheme="minorHAnsi" w:cs="Segoe UI"/>
          <w:color w:val="000000"/>
          <w:szCs w:val="22"/>
        </w:rPr>
      </w:pPr>
    </w:p>
    <w:p w14:paraId="5DAD0D82" w14:textId="3A629E58"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 xml:space="preserve">5. The obligation to provide in good time a full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A</w:t>
      </w:r>
      <w:r w:rsidRPr="0057630E">
        <w:rPr>
          <w:rFonts w:asciiTheme="minorHAnsi" w:hAnsiTheme="minorHAnsi" w:cs="Segoe UI"/>
          <w:szCs w:val="22"/>
        </w:rPr>
        <w:t>nte disclosure of information about the aggregated costs and charges related to the financial instrument and to the investment or ancillary service provided shall apply to investment firms in the following situations:</w:t>
      </w:r>
    </w:p>
    <w:p w14:paraId="7E722DDD" w14:textId="77777777" w:rsidR="00830CB7" w:rsidRPr="0057630E" w:rsidRDefault="00830CB7" w:rsidP="00331B33">
      <w:pPr>
        <w:autoSpaceDE w:val="0"/>
        <w:autoSpaceDN w:val="0"/>
        <w:adjustRightInd w:val="0"/>
        <w:spacing w:after="147"/>
        <w:ind w:left="1440"/>
        <w:jc w:val="both"/>
        <w:rPr>
          <w:rFonts w:asciiTheme="minorHAnsi" w:hAnsiTheme="minorHAnsi" w:cs="Segoe UI"/>
          <w:szCs w:val="22"/>
        </w:rPr>
      </w:pPr>
    </w:p>
    <w:p w14:paraId="52EC237F" w14:textId="47245CD3" w:rsidR="005350C4" w:rsidRPr="0057630E" w:rsidRDefault="005350C4" w:rsidP="00331B33">
      <w:pPr>
        <w:autoSpaceDE w:val="0"/>
        <w:autoSpaceDN w:val="0"/>
        <w:adjustRightInd w:val="0"/>
        <w:spacing w:after="147"/>
        <w:ind w:left="1440"/>
        <w:jc w:val="both"/>
        <w:rPr>
          <w:rFonts w:asciiTheme="minorHAnsi" w:hAnsiTheme="minorHAnsi" w:cs="Segoe UI"/>
          <w:szCs w:val="22"/>
        </w:rPr>
      </w:pPr>
      <w:r w:rsidRPr="0057630E">
        <w:rPr>
          <w:rFonts w:asciiTheme="minorHAnsi" w:hAnsiTheme="minorHAnsi" w:cs="Segoe UI"/>
          <w:szCs w:val="22"/>
        </w:rPr>
        <w:t>(a) where the investment firm recommends or markets financial instruments to clients; or</w:t>
      </w:r>
    </w:p>
    <w:p w14:paraId="481A8EDC" w14:textId="77777777" w:rsidR="005350C4" w:rsidRPr="0057630E" w:rsidRDefault="005350C4" w:rsidP="00331B33">
      <w:pPr>
        <w:autoSpaceDE w:val="0"/>
        <w:autoSpaceDN w:val="0"/>
        <w:adjustRightInd w:val="0"/>
        <w:spacing w:after="147"/>
        <w:ind w:left="1440"/>
        <w:jc w:val="both"/>
        <w:rPr>
          <w:rFonts w:asciiTheme="minorHAnsi" w:hAnsiTheme="minorHAnsi" w:cs="Segoe UI"/>
          <w:szCs w:val="22"/>
        </w:rPr>
      </w:pPr>
      <w:r w:rsidRPr="0057630E">
        <w:rPr>
          <w:rFonts w:asciiTheme="minorHAnsi" w:hAnsiTheme="minorHAnsi" w:cs="Segoe UI"/>
          <w:szCs w:val="22"/>
        </w:rPr>
        <w:t>(b) where the investment firm providing any investment services is required to provide clients with a UCITS KIID or PRIIPs KID in relation to the relevant financial instruments, in accordance with relevant Union legislation.</w:t>
      </w:r>
    </w:p>
    <w:p w14:paraId="3DE771F4" w14:textId="77777777" w:rsidR="005350C4" w:rsidRPr="0057630E" w:rsidRDefault="005350C4" w:rsidP="005350C4">
      <w:pPr>
        <w:autoSpaceDE w:val="0"/>
        <w:autoSpaceDN w:val="0"/>
        <w:adjustRightInd w:val="0"/>
        <w:jc w:val="both"/>
        <w:rPr>
          <w:rFonts w:asciiTheme="minorHAnsi" w:hAnsiTheme="minorHAnsi" w:cs="Segoe UI"/>
          <w:szCs w:val="22"/>
        </w:rPr>
      </w:pPr>
    </w:p>
    <w:p w14:paraId="730B63EC" w14:textId="77777777"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6. Investment firms that do not recommend or market a financial instrument to the client or are not obliged to provide the client with a KID/KIID in accordance with relevant Union legislation shall inform their clients about all costs and charges relating to the investment and/or ancillary service provided.</w:t>
      </w:r>
    </w:p>
    <w:p w14:paraId="17053D1D" w14:textId="77777777" w:rsidR="005350C4" w:rsidRPr="0057630E" w:rsidRDefault="005350C4" w:rsidP="005350C4">
      <w:pPr>
        <w:autoSpaceDE w:val="0"/>
        <w:autoSpaceDN w:val="0"/>
        <w:adjustRightInd w:val="0"/>
        <w:jc w:val="both"/>
        <w:rPr>
          <w:rFonts w:asciiTheme="minorHAnsi" w:hAnsiTheme="minorHAnsi" w:cs="Segoe UI"/>
          <w:szCs w:val="22"/>
        </w:rPr>
      </w:pPr>
    </w:p>
    <w:p w14:paraId="3F06360F" w14:textId="77777777"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lastRenderedPageBreak/>
        <w:t>7. Where more than one investment firm provides investment or ancillary services to the client, each investment firm shall provide information about the costs of the investment or ancillary services it provides. An investment firm that recommends or markets to its clients the services provided by another firm, shall aggregate the cost and charges of its services together with the cost and charges of the services provided by the other firm. An investment firm shall take into account the costs and charges associated to the provision of other investment or ancillary services by other firms where it has directed the client to these other firms.</w:t>
      </w:r>
    </w:p>
    <w:p w14:paraId="6C54C3F3" w14:textId="77777777" w:rsidR="005350C4" w:rsidRPr="0057630E" w:rsidRDefault="005350C4" w:rsidP="005350C4">
      <w:pPr>
        <w:autoSpaceDE w:val="0"/>
        <w:autoSpaceDN w:val="0"/>
        <w:adjustRightInd w:val="0"/>
        <w:jc w:val="both"/>
        <w:rPr>
          <w:rFonts w:asciiTheme="minorHAnsi" w:hAnsiTheme="minorHAnsi" w:cs="Segoe UI"/>
          <w:szCs w:val="22"/>
        </w:rPr>
      </w:pPr>
    </w:p>
    <w:p w14:paraId="0AEE2DB4" w14:textId="3F9B3F28"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 xml:space="preserve">8. Where calculating costs and charges on an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A</w:t>
      </w:r>
      <w:r w:rsidRPr="0057630E">
        <w:rPr>
          <w:rFonts w:asciiTheme="minorHAnsi" w:hAnsiTheme="minorHAnsi" w:cs="Segoe UI"/>
          <w:szCs w:val="22"/>
        </w:rPr>
        <w:t xml:space="preserve">nte basis, investment firms shall use actually incurred costs as a proxy for the expected costs and charges. Where actual costs are not available, the investment firm shall make reasonable estimations of these costs. Investment firms shall review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A</w:t>
      </w:r>
      <w:r w:rsidRPr="0057630E">
        <w:rPr>
          <w:rFonts w:asciiTheme="minorHAnsi" w:hAnsiTheme="minorHAnsi" w:cs="Segoe UI"/>
          <w:szCs w:val="22"/>
        </w:rPr>
        <w:t xml:space="preserve">nte assumptions based on the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P</w:t>
      </w:r>
      <w:r w:rsidRPr="0057630E">
        <w:rPr>
          <w:rFonts w:asciiTheme="minorHAnsi" w:hAnsiTheme="minorHAnsi" w:cs="Segoe UI"/>
          <w:szCs w:val="22"/>
        </w:rPr>
        <w:t>ost experience and shall make adjustment to these assumptions, where necessary.</w:t>
      </w:r>
    </w:p>
    <w:p w14:paraId="6E5BFF92" w14:textId="77777777" w:rsidR="005350C4" w:rsidRPr="0057630E" w:rsidRDefault="005350C4" w:rsidP="005350C4">
      <w:pPr>
        <w:autoSpaceDE w:val="0"/>
        <w:autoSpaceDN w:val="0"/>
        <w:adjustRightInd w:val="0"/>
        <w:jc w:val="both"/>
        <w:rPr>
          <w:rFonts w:asciiTheme="minorHAnsi" w:hAnsiTheme="minorHAnsi" w:cs="Segoe UI"/>
          <w:szCs w:val="22"/>
        </w:rPr>
      </w:pPr>
    </w:p>
    <w:p w14:paraId="5A68722F" w14:textId="4E146A0B"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 xml:space="preserve">9. Investment firms shall provide annual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P</w:t>
      </w:r>
      <w:r w:rsidRPr="0057630E">
        <w:rPr>
          <w:rFonts w:asciiTheme="minorHAnsi" w:hAnsiTheme="minorHAnsi" w:cs="Segoe UI"/>
          <w:szCs w:val="22"/>
        </w:rPr>
        <w:t>ost information about all costs and charges related to both the financial instrument(s) and investment and ancillary service(s) where they have recommended or marketed the financial instrument(s) or where they have provided the client with the KID/KIID in relation to the financial instrument(s) and they have or have had an ongoing relationship with the client during the year. Such information shall be based on costs incurred and shall be provided on a personalised basis.</w:t>
      </w:r>
    </w:p>
    <w:p w14:paraId="697D8374" w14:textId="77777777" w:rsidR="000F0527" w:rsidRPr="0057630E" w:rsidRDefault="000F0527" w:rsidP="005350C4">
      <w:pPr>
        <w:autoSpaceDE w:val="0"/>
        <w:autoSpaceDN w:val="0"/>
        <w:adjustRightInd w:val="0"/>
        <w:jc w:val="both"/>
        <w:rPr>
          <w:rFonts w:asciiTheme="minorHAnsi" w:hAnsiTheme="minorHAnsi" w:cs="Segoe UI"/>
          <w:szCs w:val="22"/>
        </w:rPr>
      </w:pPr>
    </w:p>
    <w:p w14:paraId="73F14F83" w14:textId="77777777"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Investment firms may choose to provide such aggregated information on costs and charges of the investment services and the financial instruments together with any existing periodic reporting to clients.</w:t>
      </w:r>
    </w:p>
    <w:p w14:paraId="0B8437A6" w14:textId="77777777" w:rsidR="005350C4" w:rsidRPr="0057630E" w:rsidRDefault="005350C4" w:rsidP="005350C4">
      <w:pPr>
        <w:autoSpaceDE w:val="0"/>
        <w:autoSpaceDN w:val="0"/>
        <w:adjustRightInd w:val="0"/>
        <w:jc w:val="both"/>
        <w:rPr>
          <w:rFonts w:asciiTheme="minorHAnsi" w:hAnsiTheme="minorHAnsi" w:cs="Segoe UI"/>
          <w:szCs w:val="22"/>
        </w:rPr>
      </w:pPr>
    </w:p>
    <w:p w14:paraId="6A5793E0" w14:textId="63BDEC7B" w:rsidR="005350C4" w:rsidRPr="0057630E" w:rsidRDefault="005350C4" w:rsidP="005350C4">
      <w:pPr>
        <w:autoSpaceDE w:val="0"/>
        <w:autoSpaceDN w:val="0"/>
        <w:adjustRightInd w:val="0"/>
        <w:jc w:val="both"/>
        <w:rPr>
          <w:rFonts w:asciiTheme="minorHAnsi" w:hAnsiTheme="minorHAnsi" w:cs="Segoe UI"/>
          <w:szCs w:val="22"/>
        </w:rPr>
      </w:pPr>
      <w:r w:rsidRPr="0057630E">
        <w:rPr>
          <w:rFonts w:asciiTheme="minorHAnsi" w:hAnsiTheme="minorHAnsi" w:cs="Segoe UI"/>
          <w:szCs w:val="22"/>
        </w:rPr>
        <w:t xml:space="preserve">10. Investment firms shall provide their clients with an illustration showing the cumulative effect of costs on return when providing investment services. Such an illustration shall be provided both on an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A</w:t>
      </w:r>
      <w:r w:rsidRPr="0057630E">
        <w:rPr>
          <w:rFonts w:asciiTheme="minorHAnsi" w:hAnsiTheme="minorHAnsi" w:cs="Segoe UI"/>
          <w:szCs w:val="22"/>
        </w:rPr>
        <w:t xml:space="preserve">nte and </w:t>
      </w:r>
      <w:r w:rsidR="004320D7" w:rsidRPr="0057630E">
        <w:rPr>
          <w:rFonts w:asciiTheme="minorHAnsi" w:hAnsiTheme="minorHAnsi" w:cs="Segoe UI"/>
          <w:szCs w:val="22"/>
        </w:rPr>
        <w:t>E</w:t>
      </w:r>
      <w:r w:rsidRPr="0057630E">
        <w:rPr>
          <w:rFonts w:asciiTheme="minorHAnsi" w:hAnsiTheme="minorHAnsi" w:cs="Segoe UI"/>
          <w:szCs w:val="22"/>
        </w:rPr>
        <w:t>x-</w:t>
      </w:r>
      <w:r w:rsidR="004320D7" w:rsidRPr="0057630E">
        <w:rPr>
          <w:rFonts w:asciiTheme="minorHAnsi" w:hAnsiTheme="minorHAnsi" w:cs="Segoe UI"/>
          <w:szCs w:val="22"/>
        </w:rPr>
        <w:t>P</w:t>
      </w:r>
      <w:r w:rsidRPr="0057630E">
        <w:rPr>
          <w:rFonts w:asciiTheme="minorHAnsi" w:hAnsiTheme="minorHAnsi" w:cs="Segoe UI"/>
          <w:szCs w:val="22"/>
        </w:rPr>
        <w:t>ost basis. Investment firms shall ensure that the illustration meets the following requirements:</w:t>
      </w:r>
    </w:p>
    <w:p w14:paraId="77283741" w14:textId="77777777" w:rsidR="00830CB7" w:rsidRPr="0057630E" w:rsidRDefault="00830CB7" w:rsidP="00331B33">
      <w:pPr>
        <w:autoSpaceDE w:val="0"/>
        <w:autoSpaceDN w:val="0"/>
        <w:adjustRightInd w:val="0"/>
        <w:spacing w:after="148"/>
        <w:ind w:left="1440"/>
        <w:jc w:val="both"/>
        <w:rPr>
          <w:rFonts w:asciiTheme="minorHAnsi" w:hAnsiTheme="minorHAnsi" w:cs="Segoe UI"/>
          <w:szCs w:val="22"/>
        </w:rPr>
      </w:pPr>
    </w:p>
    <w:p w14:paraId="3CD0D789" w14:textId="77777777" w:rsidR="005350C4" w:rsidRPr="0057630E" w:rsidRDefault="005350C4" w:rsidP="00331B33">
      <w:pPr>
        <w:autoSpaceDE w:val="0"/>
        <w:autoSpaceDN w:val="0"/>
        <w:adjustRightInd w:val="0"/>
        <w:spacing w:after="148"/>
        <w:ind w:left="1440"/>
        <w:jc w:val="both"/>
        <w:rPr>
          <w:rFonts w:asciiTheme="minorHAnsi" w:hAnsiTheme="minorHAnsi" w:cs="Segoe UI"/>
          <w:szCs w:val="22"/>
        </w:rPr>
      </w:pPr>
      <w:r w:rsidRPr="0057630E">
        <w:rPr>
          <w:rFonts w:asciiTheme="minorHAnsi" w:hAnsiTheme="minorHAnsi" w:cs="Segoe UI"/>
          <w:szCs w:val="22"/>
        </w:rPr>
        <w:t>(a) the illustration shows the effect of the overall costs and charges on the return of the investment;</w:t>
      </w:r>
    </w:p>
    <w:p w14:paraId="32E97079" w14:textId="77777777" w:rsidR="005350C4" w:rsidRPr="0057630E" w:rsidRDefault="005350C4" w:rsidP="00331B33">
      <w:pPr>
        <w:autoSpaceDE w:val="0"/>
        <w:autoSpaceDN w:val="0"/>
        <w:adjustRightInd w:val="0"/>
        <w:spacing w:after="148"/>
        <w:ind w:left="1440"/>
        <w:jc w:val="both"/>
        <w:rPr>
          <w:rFonts w:asciiTheme="minorHAnsi" w:hAnsiTheme="minorHAnsi" w:cs="Segoe UI"/>
          <w:szCs w:val="22"/>
        </w:rPr>
      </w:pPr>
      <w:r w:rsidRPr="0057630E">
        <w:rPr>
          <w:rFonts w:asciiTheme="minorHAnsi" w:hAnsiTheme="minorHAnsi" w:cs="Segoe UI"/>
          <w:szCs w:val="22"/>
        </w:rPr>
        <w:t>(b) the illustration shows any anticipated spikes or fluctuations in the costs; and</w:t>
      </w:r>
    </w:p>
    <w:p w14:paraId="408C934B" w14:textId="77777777" w:rsidR="005350C4" w:rsidRPr="0057630E" w:rsidRDefault="005350C4" w:rsidP="00331B33">
      <w:pPr>
        <w:autoSpaceDE w:val="0"/>
        <w:autoSpaceDN w:val="0"/>
        <w:adjustRightInd w:val="0"/>
        <w:ind w:left="1440"/>
        <w:jc w:val="both"/>
        <w:rPr>
          <w:rFonts w:asciiTheme="minorHAnsi" w:hAnsiTheme="minorHAnsi" w:cs="Segoe UI"/>
          <w:szCs w:val="22"/>
        </w:rPr>
      </w:pPr>
      <w:r w:rsidRPr="0057630E">
        <w:rPr>
          <w:rFonts w:asciiTheme="minorHAnsi" w:hAnsiTheme="minorHAnsi" w:cs="Segoe UI"/>
          <w:szCs w:val="22"/>
        </w:rPr>
        <w:t>(c) the illustration is accompanied by a description of the illustration.</w:t>
      </w:r>
    </w:p>
    <w:p w14:paraId="6BFB8D12" w14:textId="77777777" w:rsidR="005350C4" w:rsidRPr="0057630E" w:rsidRDefault="005350C4" w:rsidP="005350C4">
      <w:pPr>
        <w:pStyle w:val="Default"/>
        <w:jc w:val="both"/>
        <w:rPr>
          <w:rFonts w:asciiTheme="minorHAnsi" w:hAnsiTheme="minorHAnsi" w:cs="Segoe UI"/>
          <w:color w:val="FF0000"/>
          <w:sz w:val="22"/>
          <w:szCs w:val="22"/>
        </w:rPr>
      </w:pPr>
    </w:p>
    <w:p w14:paraId="39FA3E0F" w14:textId="77777777" w:rsidR="007D16BB" w:rsidRPr="0057630E" w:rsidRDefault="007D16BB" w:rsidP="007D16BB">
      <w:pPr>
        <w:jc w:val="both"/>
        <w:rPr>
          <w:rFonts w:asciiTheme="minorHAnsi" w:hAnsiTheme="minorHAnsi"/>
        </w:rPr>
      </w:pPr>
    </w:p>
    <w:p w14:paraId="6B1108C0" w14:textId="77777777" w:rsidR="007D16BB" w:rsidRPr="007D16BB" w:rsidRDefault="007D16BB" w:rsidP="007D16BB"/>
    <w:p w14:paraId="5C5ECF51" w14:textId="77777777" w:rsidR="00306BF1" w:rsidRDefault="00306BF1" w:rsidP="009704FF">
      <w:pPr>
        <w:autoSpaceDE w:val="0"/>
        <w:autoSpaceDN w:val="0"/>
        <w:adjustRightInd w:val="0"/>
        <w:ind w:left="0"/>
      </w:pPr>
    </w:p>
    <w:sectPr w:rsidR="00306BF1" w:rsidSect="005D3C44">
      <w:headerReference w:type="default" r:id="rId34"/>
      <w:footerReference w:type="even" r:id="rId35"/>
      <w:footerReference w:type="defaul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2063E" w14:textId="77777777" w:rsidR="00866CF6" w:rsidRDefault="00866CF6" w:rsidP="00AB78EA">
      <w:r>
        <w:separator/>
      </w:r>
    </w:p>
  </w:endnote>
  <w:endnote w:type="continuationSeparator" w:id="0">
    <w:p w14:paraId="41934213" w14:textId="77777777" w:rsidR="00866CF6" w:rsidRDefault="00866CF6" w:rsidP="00AB78EA">
      <w:r>
        <w:continuationSeparator/>
      </w:r>
    </w:p>
  </w:endnote>
  <w:endnote w:type="continuationNotice" w:id="1">
    <w:p w14:paraId="3784DC7B" w14:textId="77777777" w:rsidR="00866CF6" w:rsidRDefault="00866CF6"/>
  </w:endnote>
  <w:endnote w:id="2">
    <w:p w14:paraId="502BA129" w14:textId="130E7D3A" w:rsidR="00866CF6" w:rsidRPr="00331B33" w:rsidRDefault="00866CF6" w:rsidP="007D16BB">
      <w:pPr>
        <w:pStyle w:val="EndnoteText"/>
        <w:rPr>
          <w:highlight w:val="yellow"/>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Calibri"/>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游明朝">
    <w:panose1 w:val="00000000000000000000"/>
    <w:charset w:val="80"/>
    <w:family w:val="roman"/>
    <w:notTrueType/>
    <w:pitch w:val="default"/>
  </w:font>
  <w:font w:name="EUAlbertina">
    <w:altName w:val="Cambria"/>
    <w:panose1 w:val="00000000000000000000"/>
    <w:charset w:val="00"/>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Gill Sans">
    <w:altName w:val="Segoe UI Semilight"/>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1821C" w14:textId="77777777" w:rsidR="00866CF6" w:rsidRDefault="00866CF6" w:rsidP="005D3C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C1F76B" w14:textId="77777777" w:rsidR="00866CF6" w:rsidRDefault="00866CF6" w:rsidP="005D3C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63F979" w14:textId="77777777" w:rsidR="00866CF6" w:rsidRDefault="00866CF6" w:rsidP="005D3C4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BB4DB" w14:textId="2CAB44E5" w:rsidR="00866CF6" w:rsidRDefault="00866CF6" w:rsidP="005D3C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5422">
      <w:rPr>
        <w:rStyle w:val="PageNumber"/>
        <w:noProof/>
      </w:rPr>
      <w:t>69</w:t>
    </w:r>
    <w:r>
      <w:rPr>
        <w:rStyle w:val="PageNumber"/>
      </w:rPr>
      <w:fldChar w:fldCharType="end"/>
    </w:r>
  </w:p>
  <w:sdt>
    <w:sdtPr>
      <w:id w:val="-1842995690"/>
      <w:docPartObj>
        <w:docPartGallery w:val="Page Numbers (Bottom of Page)"/>
        <w:docPartUnique/>
      </w:docPartObj>
    </w:sdtPr>
    <w:sdtEndPr>
      <w:rPr>
        <w:noProof/>
      </w:rPr>
    </w:sdtEndPr>
    <w:sdtContent>
      <w:p w14:paraId="39FFE4E9" w14:textId="6EB890D7" w:rsidR="00866CF6" w:rsidRDefault="00866CF6" w:rsidP="005D3C44">
        <w:pPr>
          <w:pStyle w:val="Footer"/>
          <w:ind w:right="360"/>
          <w:jc w:val="center"/>
          <w:rPr>
            <w:rFonts w:cs="Arial"/>
            <w:sz w:val="14"/>
          </w:rPr>
        </w:pPr>
      </w:p>
      <w:p w14:paraId="200F17E1" w14:textId="5A3D6D01" w:rsidR="00866CF6" w:rsidRDefault="001F5422" w:rsidP="009C3B37">
        <w:pPr>
          <w:pStyle w:val="Footer"/>
          <w:jc w:val="center"/>
        </w:pPr>
      </w:p>
    </w:sdtContent>
  </w:sdt>
  <w:p w14:paraId="7E13D7E5" w14:textId="59F3ECA1" w:rsidR="00866CF6" w:rsidRPr="00071443" w:rsidRDefault="00866CF6" w:rsidP="00071443">
    <w:pPr>
      <w:pStyle w:val="Footer"/>
      <w:ind w:left="0"/>
      <w:rPr>
        <w:rFonts w:asciiTheme="minorHAnsi" w:hAnsiTheme="minorHAnsi" w:cstheme="minorHAnsi"/>
        <w:color w:val="2F4F4F"/>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C302D" w14:textId="77777777" w:rsidR="00866CF6" w:rsidRDefault="00866CF6" w:rsidP="00AB78EA">
      <w:r>
        <w:separator/>
      </w:r>
    </w:p>
  </w:footnote>
  <w:footnote w:type="continuationSeparator" w:id="0">
    <w:p w14:paraId="48217D83" w14:textId="77777777" w:rsidR="00866CF6" w:rsidRDefault="00866CF6" w:rsidP="00AB78EA">
      <w:r>
        <w:continuationSeparator/>
      </w:r>
    </w:p>
  </w:footnote>
  <w:footnote w:type="continuationNotice" w:id="1">
    <w:p w14:paraId="68C58A5A" w14:textId="77777777" w:rsidR="00866CF6" w:rsidRDefault="00866CF6"/>
  </w:footnote>
  <w:footnote w:id="2">
    <w:p w14:paraId="1576B184" w14:textId="618A74D5" w:rsidR="00866CF6" w:rsidRPr="00EC5EBD" w:rsidRDefault="00866CF6">
      <w:pPr>
        <w:pStyle w:val="FootnoteText"/>
        <w:rPr>
          <w:rFonts w:asciiTheme="minorHAnsi" w:hAnsiTheme="minorHAnsi"/>
          <w:lang w:val="en-GB"/>
        </w:rPr>
      </w:pPr>
      <w:r w:rsidRPr="00EC5EBD">
        <w:rPr>
          <w:rStyle w:val="FootnoteReference"/>
          <w:rFonts w:asciiTheme="minorHAnsi" w:hAnsiTheme="minorHAnsi"/>
        </w:rPr>
        <w:footnoteRef/>
      </w:r>
      <w:r w:rsidRPr="00EC5EBD">
        <w:rPr>
          <w:rFonts w:asciiTheme="minorHAnsi" w:hAnsiTheme="minorHAnsi"/>
        </w:rPr>
        <w:t xml:space="preserve"> </w:t>
      </w:r>
      <w:r w:rsidRPr="00EC5EBD">
        <w:rPr>
          <w:rFonts w:asciiTheme="minorHAnsi" w:hAnsiTheme="minorHAnsi"/>
          <w:lang w:val="en-GB"/>
        </w:rPr>
        <w:t xml:space="preserve">Asset management firms include portfolio managers, wealth managers and </w:t>
      </w:r>
      <w:r>
        <w:rPr>
          <w:rFonts w:asciiTheme="minorHAnsi" w:hAnsiTheme="minorHAnsi"/>
          <w:lang w:val="en-GB"/>
        </w:rPr>
        <w:t>f</w:t>
      </w:r>
      <w:r w:rsidRPr="00EC5EBD">
        <w:rPr>
          <w:rFonts w:asciiTheme="minorHAnsi" w:hAnsiTheme="minorHAnsi"/>
          <w:lang w:val="en-GB"/>
        </w:rPr>
        <w:t xml:space="preserve">und </w:t>
      </w:r>
      <w:r>
        <w:rPr>
          <w:rFonts w:asciiTheme="minorHAnsi" w:hAnsiTheme="minorHAnsi"/>
          <w:lang w:val="en-GB"/>
        </w:rPr>
        <w:t>m</w:t>
      </w:r>
      <w:r w:rsidRPr="00EC5EBD">
        <w:rPr>
          <w:rFonts w:asciiTheme="minorHAnsi" w:hAnsiTheme="minorHAnsi"/>
          <w:lang w:val="en-GB"/>
        </w:rPr>
        <w:t>anufacturers.</w:t>
      </w:r>
    </w:p>
  </w:footnote>
  <w:footnote w:id="3">
    <w:p w14:paraId="1CAE906F" w14:textId="19974B41" w:rsidR="00866CF6" w:rsidRPr="00482C7E" w:rsidRDefault="00866CF6">
      <w:pPr>
        <w:pStyle w:val="FootnoteText"/>
        <w:rPr>
          <w:lang w:val="en-GB"/>
        </w:rPr>
      </w:pPr>
      <w:r w:rsidRPr="00EC5EBD">
        <w:rPr>
          <w:rStyle w:val="FootnoteReference"/>
          <w:rFonts w:asciiTheme="minorHAnsi" w:hAnsiTheme="minorHAnsi"/>
        </w:rPr>
        <w:footnoteRef/>
      </w:r>
      <w:r w:rsidRPr="00EC5EBD">
        <w:rPr>
          <w:rFonts w:asciiTheme="minorHAnsi" w:hAnsiTheme="minorHAnsi"/>
        </w:rPr>
        <w:t xml:space="preserve"> </w:t>
      </w:r>
      <w:r w:rsidRPr="00EC5EBD">
        <w:rPr>
          <w:rFonts w:asciiTheme="minorHAnsi" w:hAnsiTheme="minorHAnsi"/>
          <w:lang w:val="en-GB"/>
        </w:rPr>
        <w:t>Distribution firms include platforms, intermediate distributors, fund supermarkets and advisory firms.</w:t>
      </w:r>
    </w:p>
  </w:footnote>
  <w:footnote w:id="4">
    <w:p w14:paraId="241A0901" w14:textId="2F44A1CF" w:rsidR="00866CF6" w:rsidRPr="001F5FC6" w:rsidRDefault="00866CF6">
      <w:pPr>
        <w:pStyle w:val="FootnoteText"/>
        <w:rPr>
          <w:rFonts w:asciiTheme="minorHAnsi" w:hAnsiTheme="minorHAnsi" w:cstheme="minorHAnsi"/>
        </w:rPr>
      </w:pPr>
      <w:r w:rsidRPr="001F5FC6">
        <w:rPr>
          <w:rStyle w:val="FootnoteReference"/>
          <w:rFonts w:asciiTheme="minorHAnsi" w:hAnsiTheme="minorHAnsi" w:cstheme="minorHAnsi"/>
        </w:rPr>
        <w:footnoteRef/>
      </w:r>
      <w:hyperlink r:id="rId1" w:history="1">
        <w:r w:rsidRPr="005C1750">
          <w:rPr>
            <w:rStyle w:val="Hyperlink"/>
            <w:rFonts w:asciiTheme="minorHAnsi" w:hAnsiTheme="minorHAnsi" w:cstheme="minorHAnsi"/>
          </w:rPr>
          <w:t xml:space="preserve"> </w:t>
        </w:r>
        <w:bookmarkStart w:id="14" w:name="_Hlk499715047"/>
        <w:r w:rsidRPr="005C1750">
          <w:rPr>
            <w:rStyle w:val="Hyperlink"/>
            <w:rFonts w:asciiTheme="minorHAnsi" w:hAnsiTheme="minorHAnsi" w:cstheme="minorHAnsi"/>
          </w:rPr>
          <w:t>www.fca.org.uk/publication/policy/ps17-14.pdf</w:t>
        </w:r>
        <w:bookmarkEnd w:id="14"/>
      </w:hyperlink>
    </w:p>
  </w:footnote>
  <w:footnote w:id="5">
    <w:p w14:paraId="5F565392" w14:textId="24A9DBDA" w:rsidR="00866CF6" w:rsidRPr="006B696A" w:rsidRDefault="001F5422" w:rsidP="006E2E5D">
      <w:pPr>
        <w:pStyle w:val="FootnoteText"/>
        <w:rPr>
          <w:rFonts w:asciiTheme="minorHAnsi" w:hAnsiTheme="minorHAnsi" w:cstheme="minorHAnsi"/>
        </w:rPr>
      </w:pPr>
      <w:hyperlink r:id="rId2" w:history="1">
        <w:r w:rsidR="00866CF6" w:rsidRPr="005C1750">
          <w:rPr>
            <w:rStyle w:val="Hyperlink"/>
            <w:rFonts w:asciiTheme="minorHAnsi" w:hAnsiTheme="minorHAnsi" w:cstheme="minorHAnsi"/>
            <w:vertAlign w:val="superscript"/>
          </w:rPr>
          <w:footnoteRef/>
        </w:r>
        <w:r w:rsidR="00866CF6" w:rsidRPr="005C1750">
          <w:rPr>
            <w:rStyle w:val="Hyperlink"/>
            <w:rFonts w:asciiTheme="minorHAnsi" w:hAnsiTheme="minorHAnsi" w:cstheme="minorHAnsi"/>
          </w:rPr>
          <w:t xml:space="preserve"> </w:t>
        </w:r>
      </w:hyperlink>
      <w:hyperlink r:id="rId3" w:history="1">
        <w:r w:rsidR="00866CF6" w:rsidRPr="005C1750">
          <w:rPr>
            <w:rStyle w:val="Hyperlink"/>
            <w:rFonts w:asciiTheme="minorHAnsi" w:hAnsiTheme="minorHAnsi" w:cstheme="minorHAnsi"/>
          </w:rPr>
          <w:t>https://www.theinvestmentassociation.org/members-area/knowledge-centre/key-issues/charges-and-costs-transparency/</w:t>
        </w:r>
      </w:hyperlink>
    </w:p>
  </w:footnote>
  <w:footnote w:id="6">
    <w:p w14:paraId="36BAE3D3" w14:textId="1B6AD4B9" w:rsidR="00866CF6" w:rsidRPr="00AB315D" w:rsidRDefault="00866CF6">
      <w:pPr>
        <w:pStyle w:val="FootnoteText"/>
        <w:rPr>
          <w:rFonts w:asciiTheme="minorHAnsi" w:hAnsiTheme="minorHAnsi"/>
          <w:lang w:val="en-GB"/>
        </w:rPr>
      </w:pPr>
      <w:r>
        <w:rPr>
          <w:rStyle w:val="FootnoteReference"/>
        </w:rPr>
        <w:footnoteRef/>
      </w:r>
      <w:r>
        <w:t xml:space="preserve"> </w:t>
      </w:r>
      <w:hyperlink r:id="rId4" w:history="1">
        <w:r w:rsidRPr="00894AA2">
          <w:rPr>
            <w:rStyle w:val="Hyperlink"/>
            <w:rFonts w:asciiTheme="minorHAnsi" w:hAnsiTheme="minorHAnsi"/>
          </w:rPr>
          <w:t>http://eur-lex.europa.eu/legal-content/EN/TXT/PDF/?uri=CELEX:32017R0653&amp;from=EN</w:t>
        </w:r>
      </w:hyperlink>
      <w:r w:rsidRPr="00AB315D">
        <w:rPr>
          <w:rFonts w:asciiTheme="minorHAnsi" w:hAnsiTheme="minorHAnsi"/>
        </w:rPr>
        <w:t xml:space="preserve"> </w:t>
      </w:r>
    </w:p>
  </w:footnote>
  <w:footnote w:id="7">
    <w:p w14:paraId="490763A2" w14:textId="4A494FC8" w:rsidR="00866CF6" w:rsidRPr="00E4000D" w:rsidRDefault="001F5422">
      <w:pPr>
        <w:pStyle w:val="FootnoteText"/>
        <w:rPr>
          <w:lang w:val="en-GB"/>
        </w:rPr>
      </w:pPr>
      <w:hyperlink r:id="rId5" w:history="1">
        <w:r w:rsidR="00866CF6" w:rsidRPr="005C1750">
          <w:rPr>
            <w:rStyle w:val="Hyperlink"/>
            <w:rFonts w:asciiTheme="minorHAnsi" w:hAnsiTheme="minorHAnsi"/>
            <w:vertAlign w:val="superscript"/>
          </w:rPr>
          <w:footnoteRef/>
        </w:r>
        <w:r w:rsidR="00866CF6" w:rsidRPr="005C1750">
          <w:rPr>
            <w:rStyle w:val="Hyperlink"/>
            <w:rFonts w:asciiTheme="minorHAnsi" w:hAnsiTheme="minorHAnsi"/>
          </w:rPr>
          <w:t xml:space="preserve"> </w:t>
        </w:r>
        <w:r w:rsidR="00866CF6" w:rsidRPr="00894AA2">
          <w:rPr>
            <w:rStyle w:val="Hyperlink"/>
            <w:rFonts w:asciiTheme="minorHAnsi" w:hAnsiTheme="minorHAnsi"/>
            <w:sz w:val="18"/>
            <w:szCs w:val="18"/>
          </w:rPr>
          <w:t>https://esas-joint-committee.europa.eu/Publications/Consultations/Questions%20and%20answers%20on%20the%20PRIIPs%20KID.pdf</w:t>
        </w:r>
      </w:hyperlink>
      <w:r w:rsidR="00866CF6" w:rsidRPr="00A85DC2">
        <w:t xml:space="preserve"> </w:t>
      </w:r>
    </w:p>
  </w:footnote>
  <w:footnote w:id="8">
    <w:p w14:paraId="62591DDB" w14:textId="0E5B4B79" w:rsidR="00866CF6" w:rsidRPr="00BC2339" w:rsidRDefault="00866CF6">
      <w:pPr>
        <w:pStyle w:val="FootnoteText"/>
        <w:rPr>
          <w:rFonts w:asciiTheme="minorHAnsi" w:hAnsiTheme="minorHAnsi"/>
          <w:sz w:val="18"/>
          <w:szCs w:val="18"/>
        </w:rPr>
      </w:pPr>
      <w:r w:rsidRPr="00BC2339">
        <w:rPr>
          <w:rStyle w:val="FootnoteReference"/>
          <w:rFonts w:asciiTheme="minorHAnsi" w:hAnsiTheme="minorHAnsi"/>
          <w:sz w:val="18"/>
          <w:szCs w:val="18"/>
        </w:rPr>
        <w:footnoteRef/>
      </w:r>
      <w:hyperlink r:id="rId6" w:history="1">
        <w:r w:rsidRPr="009C2B8A">
          <w:rPr>
            <w:rStyle w:val="Hyperlink"/>
            <w:rFonts w:asciiTheme="minorHAnsi" w:hAnsiTheme="minorHAnsi"/>
            <w:sz w:val="18"/>
            <w:szCs w:val="18"/>
          </w:rPr>
          <w:t xml:space="preserve"> </w:t>
        </w:r>
        <w:r w:rsidRPr="00894AA2">
          <w:rPr>
            <w:rStyle w:val="Hyperlink"/>
            <w:rFonts w:asciiTheme="minorHAnsi" w:hAnsiTheme="minorHAnsi"/>
            <w:sz w:val="18"/>
            <w:szCs w:val="18"/>
          </w:rPr>
          <w:t>http://eur-lex.europa.eu/legal-content/EN/TXT/PDF/?uri=CELEX:32017R0565&amp;from=EN</w:t>
        </w:r>
      </w:hyperlink>
    </w:p>
  </w:footnote>
  <w:footnote w:id="9">
    <w:p w14:paraId="522A6227" w14:textId="4795C3F3" w:rsidR="00866CF6" w:rsidRPr="00606C70" w:rsidRDefault="00866CF6" w:rsidP="006B696A">
      <w:pPr>
        <w:pStyle w:val="FootnoteText"/>
        <w:rPr>
          <w:rFonts w:asciiTheme="minorHAnsi" w:hAnsiTheme="minorHAnsi"/>
        </w:rPr>
      </w:pPr>
      <w:r w:rsidRPr="00AB315D">
        <w:rPr>
          <w:rStyle w:val="FootnoteReference"/>
          <w:sz w:val="18"/>
          <w:szCs w:val="18"/>
        </w:rPr>
        <w:footnoteRef/>
      </w:r>
      <w:r w:rsidRPr="00AB315D">
        <w:rPr>
          <w:sz w:val="18"/>
          <w:szCs w:val="18"/>
        </w:rPr>
        <w:t xml:space="preserve"> </w:t>
      </w:r>
      <w:hyperlink r:id="rId7" w:history="1">
        <w:r w:rsidRPr="009C2B8A">
          <w:rPr>
            <w:rStyle w:val="Hyperlink"/>
            <w:rFonts w:asciiTheme="minorHAnsi" w:hAnsiTheme="minorHAnsi"/>
            <w:sz w:val="18"/>
            <w:szCs w:val="18"/>
          </w:rPr>
          <w:t>https://www.theinvestmentassociation.org/members-area/knowledge-centre/current-dossiers/mifid-ii.html</w:t>
        </w:r>
      </w:hyperlink>
    </w:p>
  </w:footnote>
  <w:footnote w:id="10">
    <w:p w14:paraId="410E68FF" w14:textId="2430ABAB" w:rsidR="00866CF6" w:rsidRPr="00BC2339" w:rsidRDefault="00866CF6" w:rsidP="002363C6">
      <w:pPr>
        <w:pStyle w:val="FootnoteText"/>
        <w:rPr>
          <w:rFonts w:asciiTheme="minorHAnsi" w:hAnsiTheme="minorHAnsi"/>
          <w:sz w:val="18"/>
          <w:szCs w:val="18"/>
        </w:rPr>
      </w:pPr>
      <w:r w:rsidRPr="00BC2339">
        <w:rPr>
          <w:rStyle w:val="FootnoteReference"/>
          <w:rFonts w:asciiTheme="minorHAnsi" w:hAnsiTheme="minorHAnsi"/>
          <w:sz w:val="18"/>
          <w:szCs w:val="18"/>
        </w:rPr>
        <w:footnoteRef/>
      </w:r>
      <w:r w:rsidRPr="00BC2339">
        <w:rPr>
          <w:rFonts w:asciiTheme="minorHAnsi" w:hAnsiTheme="minorHAnsi"/>
          <w:sz w:val="18"/>
          <w:szCs w:val="18"/>
        </w:rPr>
        <w:t xml:space="preserve"> </w:t>
      </w:r>
      <w:hyperlink r:id="rId8" w:history="1">
        <w:r w:rsidRPr="0052459C">
          <w:rPr>
            <w:rStyle w:val="Hyperlink"/>
            <w:rFonts w:asciiTheme="minorHAnsi" w:hAnsiTheme="minorHAnsi"/>
            <w:sz w:val="18"/>
            <w:szCs w:val="18"/>
          </w:rPr>
          <w:t>https://eur-lex.europa.eu/legal-content/EN/TXT/PDF/?uri=CELEX:32014L0065&amp;from=EN</w:t>
        </w:r>
      </w:hyperlink>
      <w:r>
        <w:rPr>
          <w:rFonts w:asciiTheme="minorHAnsi" w:hAnsiTheme="minorHAnsi"/>
          <w:sz w:val="18"/>
          <w:szCs w:val="18"/>
        </w:rPr>
        <w:t xml:space="preserve"> </w:t>
      </w:r>
    </w:p>
  </w:footnote>
  <w:footnote w:id="11">
    <w:p w14:paraId="11F4C9FC" w14:textId="0D3BB6C7" w:rsidR="00866CF6" w:rsidRPr="00BC2339" w:rsidRDefault="00866CF6" w:rsidP="007A174A">
      <w:pPr>
        <w:pStyle w:val="FootnoteText"/>
        <w:rPr>
          <w:rFonts w:asciiTheme="minorHAnsi" w:hAnsiTheme="minorHAnsi"/>
          <w:sz w:val="18"/>
          <w:szCs w:val="18"/>
        </w:rPr>
      </w:pPr>
      <w:r w:rsidRPr="00BC2339">
        <w:rPr>
          <w:rStyle w:val="FootnoteReference"/>
          <w:rFonts w:asciiTheme="minorHAnsi" w:hAnsiTheme="minorHAnsi"/>
          <w:sz w:val="18"/>
          <w:szCs w:val="18"/>
        </w:rPr>
        <w:footnoteRef/>
      </w:r>
      <w:hyperlink r:id="rId9" w:history="1">
        <w:r w:rsidRPr="009C2B8A">
          <w:rPr>
            <w:rStyle w:val="Hyperlink"/>
            <w:rFonts w:asciiTheme="minorHAnsi" w:hAnsiTheme="minorHAnsi"/>
            <w:sz w:val="18"/>
            <w:szCs w:val="18"/>
          </w:rPr>
          <w:t xml:space="preserve"> </w:t>
        </w:r>
        <w:r w:rsidRPr="00894AA2">
          <w:rPr>
            <w:rStyle w:val="Hyperlink"/>
            <w:rFonts w:asciiTheme="minorHAnsi" w:hAnsiTheme="minorHAnsi"/>
            <w:sz w:val="18"/>
            <w:szCs w:val="18"/>
          </w:rPr>
          <w:t>http://eur-lex.europa.eu/legal-content/EN/TXT/PDF/?uri=CELEX:32017R0565&amp;from=EN</w:t>
        </w:r>
      </w:hyperlink>
    </w:p>
  </w:footnote>
  <w:footnote w:id="12">
    <w:p w14:paraId="7336350A" w14:textId="0B655118" w:rsidR="00866CF6" w:rsidRPr="00BC2339" w:rsidRDefault="00866CF6">
      <w:pPr>
        <w:pStyle w:val="FootnoteText"/>
        <w:rPr>
          <w:rFonts w:asciiTheme="minorHAnsi" w:hAnsiTheme="minorHAnsi"/>
          <w:sz w:val="18"/>
          <w:szCs w:val="18"/>
          <w:lang w:val="en-GB"/>
        </w:rPr>
      </w:pPr>
      <w:r w:rsidRPr="00BC2339">
        <w:rPr>
          <w:rStyle w:val="FootnoteReference"/>
          <w:rFonts w:asciiTheme="minorHAnsi" w:hAnsiTheme="minorHAnsi"/>
          <w:sz w:val="18"/>
          <w:szCs w:val="18"/>
        </w:rPr>
        <w:footnoteRef/>
      </w:r>
      <w:r w:rsidRPr="00BC2339">
        <w:rPr>
          <w:rFonts w:asciiTheme="minorHAnsi" w:hAnsiTheme="minorHAnsi"/>
          <w:sz w:val="18"/>
          <w:szCs w:val="18"/>
        </w:rPr>
        <w:t xml:space="preserve"> </w:t>
      </w:r>
      <w:hyperlink r:id="rId10" w:history="1">
        <w:r w:rsidRPr="009C2B8A">
          <w:rPr>
            <w:rStyle w:val="Hyperlink"/>
            <w:rFonts w:asciiTheme="minorHAnsi" w:hAnsiTheme="minorHAnsi"/>
            <w:sz w:val="18"/>
            <w:szCs w:val="18"/>
            <w:lang w:val="en-GB"/>
          </w:rPr>
          <w:t>Ibid</w:t>
        </w:r>
      </w:hyperlink>
    </w:p>
  </w:footnote>
  <w:footnote w:id="13">
    <w:p w14:paraId="155AB4F4" w14:textId="45982620" w:rsidR="00866CF6" w:rsidRDefault="00866CF6" w:rsidP="007D480E">
      <w:r w:rsidRPr="00BC2339">
        <w:rPr>
          <w:rStyle w:val="FootnoteReference"/>
          <w:rFonts w:asciiTheme="minorHAnsi" w:hAnsiTheme="minorHAnsi"/>
          <w:sz w:val="18"/>
          <w:szCs w:val="18"/>
        </w:rPr>
        <w:footnoteRef/>
      </w:r>
      <w:r>
        <w:fldChar w:fldCharType="begin"/>
      </w:r>
      <w:r>
        <w:instrText xml:space="preserve"> HYPERLINK "https://www.esma.europa.eu/press-news/esma-news/esma-updates-mifid-ii-mifir-investor-protection-qa-0" </w:instrText>
      </w:r>
      <w:r>
        <w:fldChar w:fldCharType="separate"/>
      </w:r>
      <w:r w:rsidRPr="009C2B8A">
        <w:rPr>
          <w:rStyle w:val="Hyperlink"/>
          <w:rFonts w:asciiTheme="minorHAnsi" w:hAnsiTheme="minorHAnsi"/>
          <w:sz w:val="18"/>
          <w:szCs w:val="18"/>
        </w:rPr>
        <w:t xml:space="preserve"> </w:t>
      </w:r>
      <w:r w:rsidRPr="001F5422">
        <w:rPr>
          <w:rFonts w:asciiTheme="minorHAnsi" w:hAnsiTheme="minorHAnsi"/>
          <w:sz w:val="18"/>
          <w:szCs w:val="18"/>
        </w:rPr>
        <w:fldChar w:fldCharType="begin"/>
      </w:r>
      <w:r w:rsidRPr="001F5422">
        <w:rPr>
          <w:rFonts w:asciiTheme="minorHAnsi" w:hAnsiTheme="minorHAnsi"/>
          <w:sz w:val="18"/>
          <w:szCs w:val="18"/>
        </w:rPr>
        <w:instrText xml:space="preserve"> HYPERLINK "https://www.esma.europa.eu/press-news/esma-news/esma-publishes-new-qa-investor-protection-under-mifid-ii" \t "_blank" </w:instrText>
      </w:r>
      <w:r w:rsidRPr="001F5422">
        <w:rPr>
          <w:rFonts w:asciiTheme="minorHAnsi" w:hAnsiTheme="minorHAnsi"/>
          <w:sz w:val="18"/>
          <w:szCs w:val="18"/>
        </w:rPr>
        <w:fldChar w:fldCharType="separate"/>
      </w:r>
      <w:r w:rsidRPr="001F5422">
        <w:rPr>
          <w:rStyle w:val="Hyperlink"/>
          <w:rFonts w:asciiTheme="minorHAnsi" w:hAnsiTheme="minorHAnsi"/>
          <w:sz w:val="18"/>
          <w:szCs w:val="18"/>
          <w:shd w:val="clear" w:color="auto" w:fill="FFFFFF"/>
        </w:rPr>
        <w:t>https://www.esma.europa.eu/press-news/esma-news/esma-publishes-new-qa-investor-protection-under-mifid-ii</w:t>
      </w:r>
      <w:r w:rsidRPr="001F5422">
        <w:rPr>
          <w:rFonts w:asciiTheme="minorHAnsi" w:hAnsiTheme="minorHAnsi"/>
          <w:sz w:val="18"/>
          <w:szCs w:val="18"/>
        </w:rPr>
        <w:fldChar w:fldCharType="end"/>
      </w:r>
    </w:p>
    <w:p w14:paraId="43054C0E" w14:textId="7A367DD5" w:rsidR="00866CF6" w:rsidRPr="00BC2339" w:rsidRDefault="00866CF6" w:rsidP="008D6CBD">
      <w:pPr>
        <w:pStyle w:val="FootnoteText"/>
        <w:rPr>
          <w:rFonts w:asciiTheme="minorHAnsi" w:hAnsiTheme="minorHAnsi"/>
          <w:sz w:val="18"/>
          <w:szCs w:val="18"/>
        </w:rPr>
      </w:pPr>
      <w:r>
        <w:rPr>
          <w:rStyle w:val="Hyperlink"/>
          <w:rFonts w:asciiTheme="minorHAnsi" w:hAnsiTheme="minorHAnsi"/>
          <w:sz w:val="18"/>
          <w:szCs w:val="18"/>
        </w:rPr>
        <w:fldChar w:fldCharType="end"/>
      </w:r>
    </w:p>
  </w:footnote>
  <w:footnote w:id="14">
    <w:p w14:paraId="5E4CA284" w14:textId="21E968B9" w:rsidR="00866CF6" w:rsidRPr="00851F2F" w:rsidRDefault="00866CF6" w:rsidP="00851F2F">
      <w:pPr>
        <w:pStyle w:val="FootnoteText"/>
      </w:pPr>
      <w:r w:rsidRPr="00BC2339">
        <w:rPr>
          <w:rStyle w:val="FootnoteReference"/>
          <w:rFonts w:asciiTheme="minorHAnsi" w:hAnsiTheme="minorHAnsi"/>
          <w:sz w:val="18"/>
          <w:szCs w:val="18"/>
        </w:rPr>
        <w:footnoteRef/>
      </w:r>
      <w:hyperlink r:id="rId11" w:history="1">
        <w:r w:rsidRPr="004267F5">
          <w:rPr>
            <w:rStyle w:val="Hyperlink"/>
            <w:rFonts w:asciiTheme="minorHAnsi" w:hAnsiTheme="minorHAnsi"/>
            <w:sz w:val="18"/>
            <w:szCs w:val="18"/>
          </w:rPr>
          <w:t xml:space="preserve"> </w:t>
        </w:r>
        <w:r w:rsidRPr="00894AA2">
          <w:rPr>
            <w:rStyle w:val="Hyperlink"/>
            <w:rFonts w:asciiTheme="minorHAnsi" w:hAnsiTheme="minorHAnsi"/>
            <w:sz w:val="18"/>
            <w:szCs w:val="18"/>
          </w:rPr>
          <w:t>https://www.fca.org.uk/publication/policy/ps17-14.pdf</w:t>
        </w:r>
      </w:hyperlink>
    </w:p>
  </w:footnote>
  <w:footnote w:id="15">
    <w:p w14:paraId="48496674" w14:textId="77A01EE2" w:rsidR="00866CF6" w:rsidRDefault="00866CF6">
      <w:pPr>
        <w:pStyle w:val="FootnoteText"/>
      </w:pPr>
      <w:r>
        <w:rPr>
          <w:rStyle w:val="FootnoteReference"/>
        </w:rPr>
        <w:footnoteRef/>
      </w:r>
      <w:r>
        <w:t xml:space="preserve"> </w:t>
      </w:r>
      <w:r w:rsidRPr="006757FC">
        <w:rPr>
          <w:rFonts w:asciiTheme="minorHAnsi" w:hAnsiTheme="minorHAnsi"/>
        </w:rPr>
        <w:t xml:space="preserve">Article 50 has </w:t>
      </w:r>
      <w:r w:rsidRPr="00CD7149">
        <w:rPr>
          <w:rFonts w:asciiTheme="minorHAnsi" w:hAnsiTheme="minorHAnsi"/>
          <w:i/>
          <w:lang w:val="en-GB"/>
        </w:rPr>
        <w:t>l</w:t>
      </w:r>
      <w:r w:rsidRPr="00236083">
        <w:rPr>
          <w:rFonts w:asciiTheme="minorHAnsi" w:hAnsiTheme="minorHAnsi"/>
          <w:i/>
          <w:lang w:val="en-GB"/>
        </w:rPr>
        <w:t>imit</w:t>
      </w:r>
      <w:r w:rsidRPr="00E31FDA">
        <w:rPr>
          <w:rFonts w:asciiTheme="minorHAnsi" w:hAnsiTheme="minorHAnsi"/>
          <w:i/>
          <w:lang w:val="en-GB"/>
        </w:rPr>
        <w:t xml:space="preserve">ed </w:t>
      </w:r>
      <w:r w:rsidRPr="00E00638">
        <w:rPr>
          <w:rFonts w:asciiTheme="minorHAnsi" w:hAnsiTheme="minorHAnsi"/>
          <w:lang w:val="en-GB"/>
        </w:rPr>
        <w:t>application of detailed requirements</w:t>
      </w:r>
    </w:p>
  </w:footnote>
  <w:footnote w:id="16">
    <w:p w14:paraId="1C9FB5BD" w14:textId="1A6D6119" w:rsidR="00866CF6" w:rsidRPr="00BC2339" w:rsidRDefault="001F5422" w:rsidP="004A1818">
      <w:pPr>
        <w:pStyle w:val="FootnoteText"/>
        <w:rPr>
          <w:rFonts w:asciiTheme="minorHAnsi" w:hAnsiTheme="minorHAnsi"/>
        </w:rPr>
      </w:pPr>
      <w:hyperlink r:id="rId12" w:history="1">
        <w:r w:rsidR="00866CF6" w:rsidRPr="009C2B8A">
          <w:rPr>
            <w:rStyle w:val="Hyperlink"/>
            <w:rFonts w:asciiTheme="minorHAnsi" w:hAnsiTheme="minorHAnsi"/>
            <w:vertAlign w:val="superscript"/>
          </w:rPr>
          <w:footnoteRef/>
        </w:r>
        <w:r w:rsidR="00866CF6" w:rsidRPr="009C2B8A">
          <w:rPr>
            <w:rStyle w:val="Hyperlink"/>
            <w:rFonts w:asciiTheme="minorHAnsi" w:hAnsiTheme="minorHAnsi"/>
          </w:rPr>
          <w:t xml:space="preserve"> </w:t>
        </w:r>
        <w:r w:rsidR="00866CF6" w:rsidRPr="00894AA2">
          <w:rPr>
            <w:rStyle w:val="Hyperlink"/>
            <w:rFonts w:asciiTheme="minorHAnsi" w:eastAsiaTheme="majorEastAsia" w:hAnsiTheme="minorHAnsi"/>
          </w:rPr>
          <w:t>http://eur-lex.europa.eu/legal-content/EN/TXT/PDF/?uri=CELEX:32014L0065&amp;qid=1500378369222&amp;from=EN</w:t>
        </w:r>
      </w:hyperlink>
    </w:p>
  </w:footnote>
  <w:footnote w:id="17">
    <w:p w14:paraId="2C8955BD" w14:textId="778EFE88" w:rsidR="00866CF6" w:rsidRPr="009C2B8A" w:rsidRDefault="00866CF6" w:rsidP="004A1818">
      <w:pPr>
        <w:pStyle w:val="FootnoteText"/>
        <w:rPr>
          <w:rStyle w:val="Hyperlink"/>
          <w:rFonts w:asciiTheme="minorHAnsi" w:hAnsiTheme="minorHAnsi"/>
        </w:rPr>
      </w:pPr>
      <w:r w:rsidRPr="00BC2339">
        <w:rPr>
          <w:rStyle w:val="FootnoteReference"/>
          <w:rFonts w:asciiTheme="minorHAnsi" w:hAnsiTheme="minorHAnsi"/>
        </w:rPr>
        <w:footnoteRef/>
      </w:r>
      <w:r w:rsidRPr="00BC2339">
        <w:rPr>
          <w:rFonts w:asciiTheme="minorHAnsi" w:hAnsiTheme="minorHAnsi"/>
        </w:rPr>
        <w:t xml:space="preserve"> </w:t>
      </w:r>
      <w:r>
        <w:rPr>
          <w:rFonts w:asciiTheme="minorHAnsi" w:hAnsiTheme="minorHAnsi"/>
        </w:rPr>
        <w:fldChar w:fldCharType="begin"/>
      </w:r>
      <w:r>
        <w:rPr>
          <w:rFonts w:asciiTheme="minorHAnsi" w:hAnsiTheme="minorHAnsi"/>
        </w:rPr>
        <w:instrText xml:space="preserve"> HYPERLINK "http://eur-lex.europa.eu/legal-content/EN/TXT/PDF/?uri=CELEX:32017R0565&amp;from=EN" </w:instrText>
      </w:r>
      <w:r>
        <w:rPr>
          <w:rFonts w:asciiTheme="minorHAnsi" w:hAnsiTheme="minorHAnsi"/>
        </w:rPr>
        <w:fldChar w:fldCharType="separate"/>
      </w:r>
      <w:r w:rsidRPr="00894AA2">
        <w:rPr>
          <w:rStyle w:val="Hyperlink"/>
          <w:rFonts w:asciiTheme="minorHAnsi" w:hAnsiTheme="minorHAnsi"/>
        </w:rPr>
        <w:t>http://eur-lex.europa.eu/legal-content/EN/TXT/PDF/?uri=CELEX:32017R0565&amp;from=EN</w:t>
      </w:r>
    </w:p>
    <w:p w14:paraId="360BD23A" w14:textId="0133CA8E" w:rsidR="00866CF6" w:rsidRDefault="00866CF6" w:rsidP="004A1818">
      <w:pPr>
        <w:pStyle w:val="FootnoteText"/>
      </w:pPr>
      <w:r>
        <w:rPr>
          <w:rFonts w:asciiTheme="minorHAnsi" w:hAnsiTheme="minorHAnsi"/>
        </w:rPr>
        <w:fldChar w:fldCharType="end"/>
      </w:r>
    </w:p>
  </w:footnote>
  <w:footnote w:id="18">
    <w:p w14:paraId="574C19D3" w14:textId="2EB7CCA8" w:rsidR="00866CF6" w:rsidRPr="00D64151" w:rsidRDefault="00866CF6">
      <w:pPr>
        <w:pStyle w:val="FootnoteText"/>
        <w:rPr>
          <w:lang w:val="fr-CA"/>
        </w:rPr>
      </w:pPr>
      <w:r>
        <w:rPr>
          <w:rStyle w:val="FootnoteReference"/>
        </w:rPr>
        <w:footnoteRef/>
      </w:r>
      <w:r w:rsidRPr="00D64151">
        <w:rPr>
          <w:lang w:val="fr-CA"/>
        </w:rPr>
        <w:t xml:space="preserve"> </w:t>
      </w:r>
      <w:r w:rsidRPr="00D64151">
        <w:rPr>
          <w:rFonts w:ascii="Calibri" w:hAnsi="Calibri"/>
          <w:lang w:val="fr-CA"/>
        </w:rPr>
        <w:t xml:space="preserve">Article 106.1 </w:t>
      </w:r>
      <w:hyperlink r:id="rId13" w:history="1">
        <w:r w:rsidRPr="00D64151">
          <w:rPr>
            <w:rStyle w:val="Hyperlink"/>
            <w:rFonts w:ascii="Calibri" w:hAnsi="Calibri"/>
            <w:lang w:val="fr-CA"/>
          </w:rPr>
          <w:t>http://eur-lex.europa.eu/legal-content/EN/TXT/?uri=CELEX:32013R0231</w:t>
        </w:r>
      </w:hyperlink>
    </w:p>
  </w:footnote>
  <w:footnote w:id="19">
    <w:p w14:paraId="0D9C425B" w14:textId="77777777" w:rsidR="00866CF6" w:rsidRPr="00D64151" w:rsidRDefault="00866CF6" w:rsidP="00714504">
      <w:pPr>
        <w:pStyle w:val="FootnoteText"/>
        <w:rPr>
          <w:lang w:val="fr-CA"/>
        </w:rPr>
      </w:pPr>
      <w:r>
        <w:rPr>
          <w:rStyle w:val="FootnoteReference"/>
        </w:rPr>
        <w:footnoteRef/>
      </w:r>
      <w:r w:rsidRPr="00D64151">
        <w:rPr>
          <w:lang w:val="fr-CA"/>
        </w:rPr>
        <w:t xml:space="preserve"> </w:t>
      </w:r>
      <w:hyperlink r:id="rId14" w:history="1">
        <w:r w:rsidRPr="00D64151">
          <w:rPr>
            <w:rStyle w:val="Hyperlink"/>
            <w:rFonts w:asciiTheme="minorHAnsi" w:eastAsiaTheme="majorEastAsia" w:hAnsiTheme="minorHAnsi"/>
            <w:lang w:val="fr-CA"/>
          </w:rPr>
          <w:t>http://eur-lex.europa.eu/legal-content/EN/TXT/PDF/?uri=CONSIL:ST_8356_2016_ADD_1&amp;qid=1501680043192&amp;from=EN</w:t>
        </w:r>
      </w:hyperlink>
    </w:p>
  </w:footnote>
  <w:footnote w:id="20">
    <w:p w14:paraId="709D0FE6" w14:textId="77777777" w:rsidR="00866CF6" w:rsidRPr="001F5FC6" w:rsidRDefault="00866CF6" w:rsidP="001F5FC6">
      <w:pPr>
        <w:rPr>
          <w:rFonts w:ascii="Times" w:hAnsi="Times"/>
          <w:sz w:val="20"/>
          <w:lang w:val="en-GB"/>
        </w:rPr>
      </w:pPr>
      <w:r>
        <w:rPr>
          <w:rStyle w:val="FootnoteReference"/>
        </w:rPr>
        <w:footnoteRef/>
      </w:r>
      <w:r>
        <w:t xml:space="preserve"> </w:t>
      </w:r>
      <w:r w:rsidRPr="001F5FC6">
        <w:rPr>
          <w:rFonts w:ascii="Calibri" w:hAnsi="Calibri"/>
          <w:sz w:val="20"/>
          <w:shd w:val="clear" w:color="auto" w:fill="FFFFFF"/>
          <w:lang w:val="en-GB"/>
        </w:rPr>
        <w:t>Note that the EMT Q&amp;A now directs managers to put 99.99 where a cost doesn’t exist (because the EMT specifies a floating decimal entry)</w:t>
      </w:r>
    </w:p>
    <w:p w14:paraId="6E0BA3C2" w14:textId="511D0669" w:rsidR="00866CF6" w:rsidRDefault="00866CF6">
      <w:pPr>
        <w:pStyle w:val="FootnoteText"/>
      </w:pPr>
    </w:p>
  </w:footnote>
  <w:footnote w:id="21">
    <w:p w14:paraId="372B4B8C" w14:textId="2091CACB" w:rsidR="00866CF6" w:rsidRPr="00EC5EBD" w:rsidRDefault="00866CF6">
      <w:pPr>
        <w:pStyle w:val="FootnoteText"/>
        <w:rPr>
          <w:rFonts w:asciiTheme="minorHAnsi" w:hAnsiTheme="minorHAnsi"/>
        </w:rPr>
      </w:pPr>
      <w:r w:rsidRPr="00EC5EBD">
        <w:rPr>
          <w:rStyle w:val="FootnoteReference"/>
          <w:rFonts w:asciiTheme="minorHAnsi" w:hAnsiTheme="minorHAnsi"/>
        </w:rPr>
        <w:footnoteRef/>
      </w:r>
      <w:r w:rsidRPr="00EC5EBD">
        <w:rPr>
          <w:rFonts w:asciiTheme="minorHAnsi" w:hAnsiTheme="minorHAnsi"/>
        </w:rPr>
        <w:t xml:space="preserve"> </w:t>
      </w:r>
      <w:hyperlink r:id="rId15" w:history="1">
        <w:r w:rsidRPr="00EC5EBD">
          <w:rPr>
            <w:rStyle w:val="Hyperlink"/>
            <w:rFonts w:asciiTheme="minorHAnsi" w:hAnsiTheme="minorHAnsi"/>
          </w:rPr>
          <w:t>http://eur-lex.europa.eu/legal-content/EN/TXT/PDF/?uri=CELEX:32017R0653&amp;qid=1500379814233&amp;from=EN</w:t>
        </w:r>
      </w:hyperlink>
    </w:p>
    <w:p w14:paraId="08F8927D" w14:textId="77777777" w:rsidR="00866CF6" w:rsidRPr="00EC5EBD" w:rsidRDefault="00866CF6">
      <w:pPr>
        <w:pStyle w:val="FootnoteText"/>
        <w:rPr>
          <w:rFonts w:asciiTheme="minorHAnsi" w:hAnsiTheme="minorHAnsi"/>
          <w:lang w:val="en-GB"/>
        </w:rPr>
      </w:pPr>
    </w:p>
  </w:footnote>
  <w:footnote w:id="22">
    <w:p w14:paraId="6E735DD2" w14:textId="6D47A04A" w:rsidR="00866CF6" w:rsidRPr="00EC5EBD" w:rsidRDefault="00866CF6">
      <w:pPr>
        <w:pStyle w:val="FootnoteText"/>
        <w:rPr>
          <w:rFonts w:asciiTheme="minorHAnsi" w:hAnsiTheme="minorHAnsi"/>
        </w:rPr>
      </w:pPr>
      <w:r w:rsidRPr="00EC5EBD">
        <w:rPr>
          <w:rStyle w:val="FootnoteReference"/>
          <w:rFonts w:asciiTheme="minorHAnsi" w:hAnsiTheme="minorHAnsi"/>
        </w:rPr>
        <w:footnoteRef/>
      </w:r>
      <w:r w:rsidRPr="00EC5EBD">
        <w:rPr>
          <w:rFonts w:asciiTheme="minorHAnsi" w:hAnsiTheme="minorHAnsi"/>
        </w:rPr>
        <w:t xml:space="preserve"> </w:t>
      </w:r>
      <w:hyperlink r:id="rId16" w:history="1">
        <w:r w:rsidRPr="00EC5EBD">
          <w:rPr>
            <w:rStyle w:val="Hyperlink"/>
            <w:rFonts w:asciiTheme="minorHAnsi" w:hAnsiTheme="minorHAnsi"/>
          </w:rPr>
          <w:t>https://esas-joint-committee.europa.eu/Publications/Consultations/Questions%20and%20answers%20on%20the%20PRIIPs%20KID.pdf</w:t>
        </w:r>
      </w:hyperlink>
    </w:p>
    <w:p w14:paraId="798AF480" w14:textId="77777777" w:rsidR="00866CF6" w:rsidRPr="00331B33" w:rsidRDefault="00866CF6">
      <w:pPr>
        <w:pStyle w:val="FootnoteText"/>
        <w:rPr>
          <w:lang w:val="en-GB"/>
        </w:rPr>
      </w:pPr>
    </w:p>
  </w:footnote>
  <w:footnote w:id="23">
    <w:p w14:paraId="156CC064" w14:textId="61995466" w:rsidR="00866CF6" w:rsidRPr="00D64151" w:rsidRDefault="00866CF6">
      <w:pPr>
        <w:pStyle w:val="FootnoteText"/>
        <w:rPr>
          <w:lang w:val="de-DE"/>
        </w:rPr>
      </w:pPr>
      <w:r>
        <w:rPr>
          <w:rStyle w:val="FootnoteReference"/>
        </w:rPr>
        <w:footnoteRef/>
      </w:r>
      <w:r w:rsidRPr="00D64151">
        <w:rPr>
          <w:lang w:val="de-DE"/>
        </w:rPr>
        <w:t xml:space="preserve"> </w:t>
      </w:r>
      <w:hyperlink r:id="rId17" w:history="1">
        <w:r w:rsidRPr="00D64151">
          <w:rPr>
            <w:rStyle w:val="Hyperlink"/>
            <w:rFonts w:asciiTheme="minorHAnsi" w:hAnsiTheme="minorHAnsi"/>
            <w:lang w:val="de-DE"/>
          </w:rPr>
          <w:t>www.fca.org.uk/publication/consultation/cp16-29.pdf</w:t>
        </w:r>
      </w:hyperlink>
      <w:r w:rsidRPr="00D64151">
        <w:rPr>
          <w:rFonts w:asciiTheme="minorHAnsi" w:hAnsiTheme="minorHAnsi"/>
          <w:lang w:val="de-DE"/>
        </w:rPr>
        <w:t xml:space="preserve"> Paragraph 5.56, p50.</w:t>
      </w:r>
    </w:p>
  </w:footnote>
  <w:footnote w:id="24">
    <w:p w14:paraId="65F3621B" w14:textId="178655DC" w:rsidR="00866CF6" w:rsidRDefault="00866CF6" w:rsidP="007D480E">
      <w:r w:rsidRPr="00894AA2">
        <w:rPr>
          <w:rStyle w:val="FootnoteReference"/>
          <w:rFonts w:asciiTheme="minorHAnsi" w:hAnsiTheme="minorHAnsi"/>
          <w:sz w:val="18"/>
          <w:szCs w:val="18"/>
        </w:rPr>
        <w:footnoteRef/>
      </w:r>
      <w:r w:rsidRPr="001F5422">
        <w:rPr>
          <w:rFonts w:ascii="Calibri" w:hAnsi="Calibri"/>
          <w:color w:val="212121"/>
          <w:sz w:val="18"/>
          <w:szCs w:val="18"/>
          <w:shd w:val="clear" w:color="auto" w:fill="FFFFFF"/>
        </w:rPr>
        <w:t> </w:t>
      </w:r>
      <w:r w:rsidRPr="001F5422">
        <w:rPr>
          <w:sz w:val="18"/>
          <w:szCs w:val="18"/>
        </w:rPr>
        <w:fldChar w:fldCharType="begin"/>
      </w:r>
      <w:r w:rsidRPr="001F5422">
        <w:rPr>
          <w:sz w:val="18"/>
          <w:szCs w:val="18"/>
        </w:rPr>
        <w:instrText xml:space="preserve"> HYPERLINK "https://www.esma.europa.eu/press-news/esma-news/esma-publishes-new-qa-investor-protection-under-mifid-ii" \t "_blank" </w:instrText>
      </w:r>
      <w:r w:rsidRPr="001F5422">
        <w:rPr>
          <w:sz w:val="18"/>
          <w:szCs w:val="18"/>
        </w:rPr>
        <w:fldChar w:fldCharType="separate"/>
      </w:r>
      <w:r w:rsidRPr="001F5422">
        <w:rPr>
          <w:rStyle w:val="Hyperlink"/>
          <w:rFonts w:ascii="Calibri" w:hAnsi="Calibri"/>
          <w:sz w:val="18"/>
          <w:szCs w:val="18"/>
          <w:shd w:val="clear" w:color="auto" w:fill="FFFFFF"/>
        </w:rPr>
        <w:t>https://www.esma.europa.eu/press-news/esma-news/esma-publishes-new-qa-investor-protection-under-mifid-ii</w:t>
      </w:r>
      <w:r w:rsidRPr="001F5422">
        <w:rPr>
          <w:sz w:val="18"/>
          <w:szCs w:val="18"/>
        </w:rPr>
        <w:fldChar w:fldCharType="end"/>
      </w:r>
    </w:p>
    <w:p w14:paraId="640BAEAB" w14:textId="1798879B" w:rsidR="00866CF6" w:rsidRPr="00D64151" w:rsidRDefault="00866CF6" w:rsidP="009166B1">
      <w:pPr>
        <w:pStyle w:val="FootnoteText"/>
        <w:rPr>
          <w:rFonts w:asciiTheme="minorHAnsi" w:hAnsiTheme="minorHAnsi"/>
          <w:sz w:val="18"/>
          <w:szCs w:val="18"/>
          <w:lang w:val="de-DE"/>
        </w:rPr>
      </w:pPr>
    </w:p>
    <w:p w14:paraId="2F38CF0F" w14:textId="77777777" w:rsidR="00866CF6" w:rsidRPr="00D64151" w:rsidRDefault="00866CF6" w:rsidP="009166B1">
      <w:pPr>
        <w:pStyle w:val="FootnoteText"/>
        <w:rPr>
          <w:lang w:val="de-DE"/>
        </w:rPr>
      </w:pPr>
    </w:p>
  </w:footnote>
  <w:footnote w:id="25">
    <w:p w14:paraId="65DE60A8" w14:textId="40DBAEF9" w:rsidR="00866CF6" w:rsidRPr="00D64151" w:rsidRDefault="00866CF6">
      <w:pPr>
        <w:pStyle w:val="FootnoteText"/>
        <w:rPr>
          <w:lang w:val="de-DE"/>
        </w:rPr>
      </w:pPr>
      <w:r>
        <w:rPr>
          <w:rStyle w:val="FootnoteReference"/>
        </w:rPr>
        <w:footnoteRef/>
      </w:r>
      <w:r w:rsidRPr="00D64151">
        <w:rPr>
          <w:lang w:val="de-DE"/>
        </w:rPr>
        <w:t xml:space="preserve"> </w:t>
      </w:r>
      <w:r w:rsidRPr="00D64151">
        <w:rPr>
          <w:rFonts w:asciiTheme="minorHAnsi" w:hAnsiTheme="minorHAnsi"/>
          <w:lang w:val="de-DE"/>
        </w:rPr>
        <w:t xml:space="preserve">eg </w:t>
      </w:r>
      <w:hyperlink r:id="rId18" w:history="1">
        <w:r w:rsidRPr="00D64151">
          <w:rPr>
            <w:rStyle w:val="Hyperlink"/>
            <w:rFonts w:asciiTheme="minorHAnsi" w:hAnsiTheme="minorHAnsi"/>
            <w:lang w:val="de-DE"/>
          </w:rPr>
          <w:t>www.fca.org.uk/publication/consultation/cp16-29.pdf</w:t>
        </w:r>
      </w:hyperlink>
      <w:r w:rsidRPr="00D64151">
        <w:rPr>
          <w:rFonts w:asciiTheme="minorHAnsi" w:hAnsiTheme="minorHAnsi"/>
          <w:lang w:val="de-DE"/>
        </w:rPr>
        <w:t xml:space="preserve"> Paragraph 5.56, p50.</w:t>
      </w:r>
    </w:p>
  </w:footnote>
  <w:footnote w:id="26">
    <w:p w14:paraId="3DC01B2F" w14:textId="4C024949" w:rsidR="00866CF6" w:rsidRPr="00D64151" w:rsidRDefault="00866CF6">
      <w:pPr>
        <w:pStyle w:val="FootnoteText"/>
        <w:rPr>
          <w:rFonts w:asciiTheme="minorHAnsi" w:hAnsiTheme="minorHAnsi"/>
          <w:lang w:val="de-DE"/>
        </w:rPr>
      </w:pPr>
      <w:r w:rsidRPr="00EC5EBD">
        <w:rPr>
          <w:rStyle w:val="FootnoteReference"/>
          <w:rFonts w:asciiTheme="minorHAnsi" w:hAnsiTheme="minorHAnsi"/>
        </w:rPr>
        <w:footnoteRef/>
      </w:r>
      <w:hyperlink r:id="rId19" w:history="1">
        <w:r w:rsidRPr="00D64151">
          <w:rPr>
            <w:rStyle w:val="Hyperlink"/>
            <w:rFonts w:asciiTheme="minorHAnsi" w:hAnsiTheme="minorHAnsi"/>
            <w:lang w:val="de-DE"/>
          </w:rPr>
          <w:t xml:space="preserve"> https://www.fca.org.uk/publication/policy/ps17-20.pdf</w:t>
        </w:r>
      </w:hyperlink>
    </w:p>
    <w:p w14:paraId="2CB1C388" w14:textId="77777777" w:rsidR="00866CF6" w:rsidRPr="00D64151" w:rsidRDefault="00866CF6">
      <w:pPr>
        <w:pStyle w:val="FootnoteText"/>
        <w:rPr>
          <w:lang w:val="de-DE"/>
        </w:rPr>
      </w:pPr>
    </w:p>
  </w:footnote>
  <w:footnote w:id="27">
    <w:p w14:paraId="7BBB63E2" w14:textId="3BF3B5B4" w:rsidR="00866CF6" w:rsidRPr="00EC5EBD" w:rsidRDefault="00866CF6">
      <w:pPr>
        <w:pStyle w:val="FootnoteText"/>
        <w:rPr>
          <w:rFonts w:asciiTheme="minorHAnsi" w:hAnsiTheme="minorHAnsi"/>
          <w:lang w:val="en-GB"/>
        </w:rPr>
      </w:pPr>
      <w:r w:rsidRPr="00EC5EBD">
        <w:rPr>
          <w:rStyle w:val="FootnoteReference"/>
          <w:rFonts w:asciiTheme="minorHAnsi" w:hAnsiTheme="minorHAnsi"/>
        </w:rPr>
        <w:footnoteRef/>
      </w:r>
      <w:r w:rsidRPr="00EC5EBD">
        <w:rPr>
          <w:rFonts w:asciiTheme="minorHAnsi" w:hAnsiTheme="minorHAnsi"/>
        </w:rPr>
        <w:t xml:space="preserve"> </w:t>
      </w:r>
      <w:r w:rsidRPr="00EC5EBD">
        <w:rPr>
          <w:rFonts w:asciiTheme="minorHAnsi" w:hAnsiTheme="minorHAnsi"/>
          <w:lang w:val="en-GB"/>
        </w:rPr>
        <w:t>Regulatory Technical Standard</w:t>
      </w:r>
    </w:p>
  </w:footnote>
  <w:footnote w:id="28">
    <w:p w14:paraId="7DCFFB24" w14:textId="2FCA6EA0" w:rsidR="00866CF6" w:rsidRPr="001F5422" w:rsidRDefault="00866CF6">
      <w:pPr>
        <w:pStyle w:val="FootnoteText"/>
        <w:rPr>
          <w:rFonts w:asciiTheme="minorHAnsi" w:hAnsiTheme="minorHAnsi"/>
          <w:sz w:val="18"/>
          <w:szCs w:val="18"/>
        </w:rPr>
      </w:pPr>
      <w:r w:rsidRPr="001F5422">
        <w:rPr>
          <w:rStyle w:val="FootnoteReference"/>
          <w:rFonts w:asciiTheme="minorHAnsi" w:hAnsiTheme="minorHAnsi"/>
          <w:sz w:val="18"/>
          <w:szCs w:val="18"/>
        </w:rPr>
        <w:footnoteRef/>
      </w:r>
      <w:r w:rsidRPr="001F5422">
        <w:rPr>
          <w:rFonts w:asciiTheme="minorHAnsi" w:hAnsiTheme="minorHAnsi"/>
          <w:sz w:val="18"/>
          <w:szCs w:val="18"/>
        </w:rPr>
        <w:t xml:space="preserve"> http://eur-lex.europa.eu/legal-content/EN/TXT/PDF/?uri=CELEX:32017R0565&amp;from=EN</w:t>
      </w:r>
    </w:p>
  </w:footnote>
  <w:footnote w:id="29">
    <w:p w14:paraId="0D2A8857" w14:textId="0BD862C3" w:rsidR="00866CF6" w:rsidRPr="001F5422" w:rsidRDefault="00866CF6" w:rsidP="00E86378">
      <w:pPr>
        <w:pStyle w:val="FootnoteText"/>
        <w:rPr>
          <w:sz w:val="18"/>
          <w:szCs w:val="18"/>
          <w:lang w:val="en-GB"/>
        </w:rPr>
      </w:pPr>
      <w:r w:rsidRPr="001F5422">
        <w:rPr>
          <w:rStyle w:val="FootnoteReference"/>
          <w:rFonts w:asciiTheme="minorHAnsi" w:hAnsiTheme="minorHAnsi"/>
          <w:sz w:val="18"/>
          <w:szCs w:val="18"/>
        </w:rPr>
        <w:footnoteRef/>
      </w:r>
      <w:r w:rsidRPr="001F5422">
        <w:rPr>
          <w:rFonts w:asciiTheme="minorHAnsi" w:hAnsiTheme="minorHAnsi"/>
          <w:sz w:val="18"/>
          <w:szCs w:val="18"/>
        </w:rPr>
        <w:t xml:space="preserve"> </w:t>
      </w:r>
      <w:hyperlink r:id="rId20" w:history="1">
        <w:r w:rsidRPr="001F5422">
          <w:rPr>
            <w:rStyle w:val="Hyperlink"/>
            <w:rFonts w:asciiTheme="minorHAnsi" w:hAnsiTheme="minorHAnsi" w:cstheme="minorHAnsi"/>
            <w:sz w:val="18"/>
            <w:szCs w:val="18"/>
          </w:rPr>
          <w:t>https://www.fca.org.uk/publications/market-studies/asset-management-market-study</w:t>
        </w:r>
      </w:hyperlink>
    </w:p>
  </w:footnote>
  <w:footnote w:id="30">
    <w:p w14:paraId="37A9D603" w14:textId="099D2FCE" w:rsidR="00866CF6" w:rsidRPr="003913EF" w:rsidRDefault="00866CF6">
      <w:pPr>
        <w:pStyle w:val="FootnoteText"/>
        <w:rPr>
          <w:rFonts w:asciiTheme="minorHAnsi" w:hAnsiTheme="minorHAnsi" w:cstheme="minorHAnsi"/>
        </w:rPr>
      </w:pPr>
      <w:r w:rsidRPr="001F5422">
        <w:rPr>
          <w:rStyle w:val="FootnoteReference"/>
          <w:rFonts w:asciiTheme="minorHAnsi" w:hAnsiTheme="minorHAnsi" w:cstheme="minorHAnsi"/>
          <w:sz w:val="18"/>
          <w:szCs w:val="18"/>
        </w:rPr>
        <w:footnoteRef/>
      </w:r>
      <w:r w:rsidRPr="001F5422">
        <w:rPr>
          <w:rFonts w:asciiTheme="minorHAnsi" w:hAnsiTheme="minorHAnsi" w:cstheme="minorHAnsi"/>
          <w:sz w:val="18"/>
          <w:szCs w:val="18"/>
        </w:rPr>
        <w:t xml:space="preserve"> </w:t>
      </w:r>
      <w:hyperlink r:id="rId21" w:history="1">
        <w:r w:rsidRPr="001F5422">
          <w:rPr>
            <w:rStyle w:val="Hyperlink"/>
            <w:rFonts w:asciiTheme="minorHAnsi" w:hAnsiTheme="minorHAnsi" w:cstheme="minorHAnsi"/>
            <w:sz w:val="18"/>
            <w:szCs w:val="18"/>
          </w:rPr>
          <w:t>https://www.fca.org.uk/firms/institutional-disclosure-working-group</w:t>
        </w:r>
      </w:hyperlink>
    </w:p>
  </w:footnote>
  <w:footnote w:id="31">
    <w:p w14:paraId="57957846" w14:textId="6EB305D3" w:rsidR="00866CF6" w:rsidRPr="001F5422" w:rsidRDefault="00866CF6" w:rsidP="00FE33FF">
      <w:pPr>
        <w:pStyle w:val="FootnoteText"/>
        <w:rPr>
          <w:rFonts w:asciiTheme="minorHAnsi" w:hAnsiTheme="minorHAnsi"/>
          <w:sz w:val="18"/>
          <w:szCs w:val="18"/>
        </w:rPr>
      </w:pPr>
      <w:r w:rsidRPr="001F5422">
        <w:rPr>
          <w:rStyle w:val="FootnoteReference"/>
          <w:rFonts w:asciiTheme="minorHAnsi" w:hAnsiTheme="minorHAnsi"/>
          <w:sz w:val="18"/>
          <w:szCs w:val="18"/>
        </w:rPr>
        <w:footnoteRef/>
      </w:r>
      <w:r>
        <w:t xml:space="preserve"> </w:t>
      </w:r>
      <w:hyperlink r:id="rId22" w:history="1">
        <w:r w:rsidRPr="001F5422">
          <w:rPr>
            <w:rStyle w:val="Hyperlink"/>
            <w:rFonts w:asciiTheme="minorHAnsi" w:hAnsiTheme="minorHAnsi"/>
            <w:sz w:val="18"/>
            <w:szCs w:val="18"/>
          </w:rPr>
          <w:t>https://www.fca.org.uk/publication/documents/idwg-report-fca.pdf</w:t>
        </w:r>
      </w:hyperlink>
    </w:p>
  </w:footnote>
  <w:footnote w:id="32">
    <w:p w14:paraId="16D63FAF" w14:textId="77230B5A" w:rsidR="00866CF6" w:rsidRPr="001F5422" w:rsidRDefault="00866CF6">
      <w:pPr>
        <w:pStyle w:val="FootnoteText"/>
        <w:rPr>
          <w:rFonts w:asciiTheme="minorHAnsi" w:hAnsiTheme="minorHAnsi"/>
          <w:sz w:val="18"/>
          <w:szCs w:val="18"/>
        </w:rPr>
      </w:pPr>
      <w:r w:rsidRPr="001F5422">
        <w:rPr>
          <w:rStyle w:val="FootnoteReference"/>
          <w:rFonts w:asciiTheme="minorHAnsi" w:hAnsiTheme="minorHAnsi"/>
          <w:sz w:val="18"/>
          <w:szCs w:val="18"/>
        </w:rPr>
        <w:footnoteRef/>
      </w:r>
      <w:r w:rsidRPr="001F5422">
        <w:rPr>
          <w:rFonts w:asciiTheme="minorHAnsi" w:hAnsiTheme="minorHAnsi"/>
          <w:sz w:val="18"/>
          <w:szCs w:val="18"/>
        </w:rPr>
        <w:t xml:space="preserve"> https://www.fca.org.uk/firms/institutional-disclosure-working-group</w:t>
      </w:r>
    </w:p>
  </w:footnote>
  <w:footnote w:id="33">
    <w:p w14:paraId="64F3570D" w14:textId="28209CC5" w:rsidR="00866CF6" w:rsidRPr="00FE33FF" w:rsidRDefault="00866CF6" w:rsidP="001F5422">
      <w:r w:rsidRPr="001F5422">
        <w:rPr>
          <w:rStyle w:val="FootnoteReference"/>
          <w:rFonts w:asciiTheme="minorHAnsi" w:hAnsiTheme="minorHAnsi"/>
          <w:sz w:val="18"/>
          <w:szCs w:val="18"/>
        </w:rPr>
        <w:footnoteRef/>
      </w:r>
      <w:r w:rsidRPr="001F5422">
        <w:rPr>
          <w:rFonts w:asciiTheme="minorHAnsi" w:hAnsiTheme="minorHAnsi"/>
          <w:sz w:val="18"/>
          <w:szCs w:val="18"/>
        </w:rPr>
        <w:t xml:space="preserve"> </w:t>
      </w:r>
      <w:r w:rsidRPr="001F5422">
        <w:rPr>
          <w:rFonts w:asciiTheme="minorHAnsi" w:hAnsiTheme="minorHAnsi"/>
          <w:sz w:val="18"/>
          <w:szCs w:val="18"/>
        </w:rPr>
        <w:fldChar w:fldCharType="begin"/>
      </w:r>
      <w:r w:rsidRPr="001F5422">
        <w:rPr>
          <w:rFonts w:asciiTheme="minorHAnsi" w:hAnsiTheme="minorHAnsi"/>
          <w:sz w:val="18"/>
          <w:szCs w:val="18"/>
        </w:rPr>
        <w:instrText xml:space="preserve"> HYPERLINK "https://www.plsa.co.uk/Policy-and-Research-Investment-Cost-Transparency-Initiative" \t "_blank" </w:instrText>
      </w:r>
      <w:r w:rsidRPr="001F5422">
        <w:rPr>
          <w:rFonts w:asciiTheme="minorHAnsi" w:hAnsiTheme="minorHAnsi"/>
          <w:sz w:val="18"/>
          <w:szCs w:val="18"/>
        </w:rPr>
        <w:fldChar w:fldCharType="separate"/>
      </w:r>
      <w:r w:rsidRPr="001F5422">
        <w:rPr>
          <w:rStyle w:val="Hyperlink"/>
          <w:rFonts w:asciiTheme="minorHAnsi" w:hAnsiTheme="minorHAnsi"/>
          <w:sz w:val="18"/>
          <w:szCs w:val="18"/>
          <w:shd w:val="clear" w:color="auto" w:fill="FFFFFF"/>
        </w:rPr>
        <w:t>https://www.plsa.co.uk/Policy-and-Research-Investment-Cost-Transparency-Initiative</w:t>
      </w:r>
      <w:r w:rsidRPr="001F5422">
        <w:rPr>
          <w:rFonts w:asciiTheme="minorHAnsi" w:hAnsiTheme="minorHAnsi"/>
          <w:sz w:val="18"/>
          <w:szCs w:val="18"/>
        </w:rPr>
        <w:fldChar w:fldCharType="end"/>
      </w:r>
      <w:r w:rsidRPr="001F5422">
        <w:rPr>
          <w:rFonts w:asciiTheme="minorHAnsi" w:hAnsiTheme="minorHAnsi"/>
          <w:color w:val="212121"/>
          <w:sz w:val="18"/>
          <w:szCs w:val="18"/>
          <w:shd w:val="clear" w:color="auto" w:fill="FFFFFF"/>
        </w:rPr>
        <w:t>  </w:t>
      </w:r>
    </w:p>
  </w:footnote>
  <w:footnote w:id="34">
    <w:p w14:paraId="2E332ABA" w14:textId="3B4066B1" w:rsidR="00866CF6" w:rsidRDefault="00866CF6">
      <w:pPr>
        <w:pStyle w:val="FootnoteText"/>
      </w:pPr>
      <w:r w:rsidRPr="001F5422">
        <w:rPr>
          <w:rStyle w:val="FootnoteReference"/>
          <w:rFonts w:asciiTheme="minorHAnsi" w:hAnsiTheme="minorHAnsi"/>
          <w:sz w:val="18"/>
          <w:szCs w:val="18"/>
        </w:rPr>
        <w:footnoteRef/>
      </w:r>
      <w:r>
        <w:t xml:space="preserve"> </w:t>
      </w:r>
      <w:r w:rsidRPr="001F5422">
        <w:rPr>
          <w:rFonts w:asciiTheme="minorHAnsi" w:hAnsiTheme="minorHAnsi"/>
          <w:sz w:val="18"/>
          <w:szCs w:val="18"/>
        </w:rPr>
        <w:t>See references to Article 24 of the Directive and to the Delegated Regulation in section 3.2 and 3.2.1 above.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21940" w14:textId="5BD765CA" w:rsidR="00866CF6" w:rsidRDefault="00866CF6" w:rsidP="009F6743">
    <w:pPr>
      <w:ind w:left="0"/>
      <w:jc w:val="right"/>
      <w:rPr>
        <w:rFonts w:asciiTheme="minorHAnsi" w:hAnsiTheme="minorHAnsi"/>
        <w:b/>
        <w:sz w:val="28"/>
        <w:szCs w:val="28"/>
      </w:rPr>
    </w:pPr>
    <w:r>
      <w:rPr>
        <w:noProof/>
      </w:rPr>
      <w:drawing>
        <wp:anchor distT="0" distB="0" distL="114300" distR="114300" simplePos="0" relativeHeight="251666432" behindDoc="0" locked="0" layoutInCell="1" allowOverlap="1" wp14:anchorId="3D1FC245" wp14:editId="066CA178">
          <wp:simplePos x="0" y="0"/>
          <wp:positionH relativeFrom="column">
            <wp:posOffset>-95250</wp:posOffset>
          </wp:positionH>
          <wp:positionV relativeFrom="paragraph">
            <wp:posOffset>-106680</wp:posOffset>
          </wp:positionV>
          <wp:extent cx="1400175" cy="6762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76275"/>
                  </a:xfrm>
                  <a:prstGeom prst="rect">
                    <a:avLst/>
                  </a:prstGeom>
                  <a:noFill/>
                  <a:ln>
                    <a:noFill/>
                  </a:ln>
                </pic:spPr>
              </pic:pic>
            </a:graphicData>
          </a:graphic>
        </wp:anchor>
      </w:drawing>
    </w:r>
    <w:r>
      <w:rPr>
        <w:rFonts w:asciiTheme="minorHAnsi" w:hAnsiTheme="minorHAnsi"/>
        <w:b/>
        <w:sz w:val="28"/>
        <w:szCs w:val="28"/>
      </w:rPr>
      <w:t>Approach to Implementation for MiFID II</w:t>
    </w:r>
  </w:p>
  <w:p w14:paraId="74998647" w14:textId="57E16497" w:rsidR="00866CF6" w:rsidRPr="002E615D" w:rsidRDefault="00866CF6" w:rsidP="00811518">
    <w:pPr>
      <w:ind w:left="0"/>
      <w:jc w:val="right"/>
      <w:rPr>
        <w:rFonts w:asciiTheme="minorHAnsi" w:hAnsiTheme="minorHAnsi"/>
        <w:b/>
        <w:sz w:val="28"/>
        <w:szCs w:val="28"/>
      </w:rPr>
    </w:pPr>
    <w:r>
      <w:rPr>
        <w:rFonts w:asciiTheme="minorHAnsi" w:hAnsiTheme="minorHAnsi"/>
        <w:b/>
        <w:sz w:val="28"/>
        <w:szCs w:val="28"/>
      </w:rPr>
      <w:t>Costs &amp; Charges Disclosures</w:t>
    </w:r>
  </w:p>
  <w:p w14:paraId="40C15225" w14:textId="77777777" w:rsidR="00866CF6" w:rsidRPr="002E615D" w:rsidRDefault="00866CF6" w:rsidP="00AB78EA">
    <w:pPr>
      <w:ind w:left="0"/>
      <w:jc w:val="center"/>
      <w:rPr>
        <w:rFonts w:asciiTheme="minorHAnsi" w:hAnsiTheme="minorHAnsi"/>
        <w:b/>
        <w:sz w:val="28"/>
        <w:szCs w:val="28"/>
      </w:rPr>
    </w:pPr>
    <w:r>
      <w:ptab w:relativeTo="margin" w:alignment="center" w:leader="none"/>
    </w:r>
    <w:r w:rsidRPr="00AB78EA">
      <w:rPr>
        <w:rFonts w:asciiTheme="minorHAnsi" w:hAnsiTheme="minorHAnsi"/>
        <w:b/>
        <w:sz w:val="28"/>
        <w:szCs w:val="28"/>
      </w:rPr>
      <w:t xml:space="preserve"> </w:t>
    </w:r>
  </w:p>
  <w:p w14:paraId="53793520" w14:textId="77777777" w:rsidR="00866CF6" w:rsidRDefault="00866CF6">
    <w:pPr>
      <w:pStyle w:val="Header"/>
    </w:pPr>
    <w:r>
      <w:ptab w:relativeTo="margin" w:alignment="right" w:leader="non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76CDD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03157"/>
    <w:multiLevelType w:val="multilevel"/>
    <w:tmpl w:val="C8064B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1123844"/>
    <w:multiLevelType w:val="hybridMultilevel"/>
    <w:tmpl w:val="AF001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C142E6"/>
    <w:multiLevelType w:val="hybridMultilevel"/>
    <w:tmpl w:val="47E0B6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4FA1835"/>
    <w:multiLevelType w:val="hybridMultilevel"/>
    <w:tmpl w:val="B42E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1C5C96"/>
    <w:multiLevelType w:val="hybridMultilevel"/>
    <w:tmpl w:val="170EE0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8D333DB"/>
    <w:multiLevelType w:val="hybridMultilevel"/>
    <w:tmpl w:val="4EDE2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2B3FFF"/>
    <w:multiLevelType w:val="hybridMultilevel"/>
    <w:tmpl w:val="74205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EB6909"/>
    <w:multiLevelType w:val="multilevel"/>
    <w:tmpl w:val="B29A5DBE"/>
    <w:lvl w:ilvl="0">
      <w:start w:val="10"/>
      <w:numFmt w:val="decimal"/>
      <w:lvlText w:val="%1."/>
      <w:lvlJc w:val="left"/>
      <w:pPr>
        <w:ind w:left="1086" w:hanging="360"/>
      </w:pPr>
      <w:rPr>
        <w:rFonts w:hint="default"/>
      </w:rPr>
    </w:lvl>
    <w:lvl w:ilvl="1">
      <w:start w:val="1"/>
      <w:numFmt w:val="decimal"/>
      <w:isLgl/>
      <w:lvlText w:val="%1.%2"/>
      <w:lvlJc w:val="left"/>
      <w:pPr>
        <w:ind w:left="1146" w:hanging="420"/>
      </w:pPr>
      <w:rPr>
        <w:rFonts w:hint="default"/>
      </w:rPr>
    </w:lvl>
    <w:lvl w:ilvl="2">
      <w:start w:val="1"/>
      <w:numFmt w:val="decimal"/>
      <w:isLgl/>
      <w:lvlText w:val="%1.%2.%3"/>
      <w:lvlJc w:val="left"/>
      <w:pPr>
        <w:ind w:left="1446"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806" w:hanging="1080"/>
      </w:pPr>
      <w:rPr>
        <w:rFonts w:hint="default"/>
      </w:rPr>
    </w:lvl>
    <w:lvl w:ilvl="5">
      <w:start w:val="1"/>
      <w:numFmt w:val="decimal"/>
      <w:isLgl/>
      <w:lvlText w:val="%1.%2.%3.%4.%5.%6"/>
      <w:lvlJc w:val="left"/>
      <w:pPr>
        <w:ind w:left="1806" w:hanging="1080"/>
      </w:pPr>
      <w:rPr>
        <w:rFonts w:hint="default"/>
      </w:rPr>
    </w:lvl>
    <w:lvl w:ilvl="6">
      <w:start w:val="1"/>
      <w:numFmt w:val="decimal"/>
      <w:isLgl/>
      <w:lvlText w:val="%1.%2.%3.%4.%5.%6.%7"/>
      <w:lvlJc w:val="left"/>
      <w:pPr>
        <w:ind w:left="2166" w:hanging="1440"/>
      </w:pPr>
      <w:rPr>
        <w:rFonts w:hint="default"/>
      </w:rPr>
    </w:lvl>
    <w:lvl w:ilvl="7">
      <w:start w:val="1"/>
      <w:numFmt w:val="decimal"/>
      <w:isLgl/>
      <w:lvlText w:val="%1.%2.%3.%4.%5.%6.%7.%8"/>
      <w:lvlJc w:val="left"/>
      <w:pPr>
        <w:ind w:left="2166" w:hanging="1440"/>
      </w:pPr>
      <w:rPr>
        <w:rFonts w:hint="default"/>
      </w:rPr>
    </w:lvl>
    <w:lvl w:ilvl="8">
      <w:start w:val="1"/>
      <w:numFmt w:val="decimal"/>
      <w:isLgl/>
      <w:lvlText w:val="%1.%2.%3.%4.%5.%6.%7.%8.%9"/>
      <w:lvlJc w:val="left"/>
      <w:pPr>
        <w:ind w:left="2526" w:hanging="1800"/>
      </w:pPr>
      <w:rPr>
        <w:rFonts w:hint="default"/>
      </w:rPr>
    </w:lvl>
  </w:abstractNum>
  <w:abstractNum w:abstractNumId="9">
    <w:nsid w:val="117F7069"/>
    <w:multiLevelType w:val="hybridMultilevel"/>
    <w:tmpl w:val="74986A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6543927"/>
    <w:multiLevelType w:val="hybridMultilevel"/>
    <w:tmpl w:val="A872B6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C80129C"/>
    <w:multiLevelType w:val="hybridMultilevel"/>
    <w:tmpl w:val="1F3802F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E026FF3"/>
    <w:multiLevelType w:val="multilevel"/>
    <w:tmpl w:val="7F30C0E4"/>
    <w:lvl w:ilvl="0">
      <w:start w:val="1"/>
      <w:numFmt w:val="decimal"/>
      <w:lvlText w:val="%1"/>
      <w:lvlJc w:val="left"/>
      <w:pPr>
        <w:ind w:left="432" w:hanging="432"/>
      </w:pPr>
      <w:rPr>
        <w:b/>
        <w:color w:val="auto"/>
        <w:sz w:val="28"/>
        <w:szCs w:val="28"/>
      </w:rPr>
    </w:lvl>
    <w:lvl w:ilvl="1">
      <w:start w:val="1"/>
      <w:numFmt w:val="decimal"/>
      <w:lvlText w:val="%1.%2"/>
      <w:lvlJc w:val="left"/>
      <w:pPr>
        <w:ind w:left="576" w:hanging="576"/>
      </w:pPr>
      <w:rPr>
        <w:b/>
        <w:color w:val="auto"/>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1FD433FC"/>
    <w:multiLevelType w:val="hybridMultilevel"/>
    <w:tmpl w:val="E904D2E6"/>
    <w:lvl w:ilvl="0" w:tplc="E5DEF6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2710C6E"/>
    <w:multiLevelType w:val="hybridMultilevel"/>
    <w:tmpl w:val="1250D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AE2252"/>
    <w:multiLevelType w:val="hybridMultilevel"/>
    <w:tmpl w:val="A752991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23082D85"/>
    <w:multiLevelType w:val="hybridMultilevel"/>
    <w:tmpl w:val="F51602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E22625"/>
    <w:multiLevelType w:val="multilevel"/>
    <w:tmpl w:val="3DD810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6332154"/>
    <w:multiLevelType w:val="hybridMultilevel"/>
    <w:tmpl w:val="A23C41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6E97AFB"/>
    <w:multiLevelType w:val="multilevel"/>
    <w:tmpl w:val="9DE61C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276D4825"/>
    <w:multiLevelType w:val="hybridMultilevel"/>
    <w:tmpl w:val="391EA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E94590"/>
    <w:multiLevelType w:val="hybridMultilevel"/>
    <w:tmpl w:val="B90EC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B203326"/>
    <w:multiLevelType w:val="multilevel"/>
    <w:tmpl w:val="EE663EE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B9D6D8B"/>
    <w:multiLevelType w:val="hybridMultilevel"/>
    <w:tmpl w:val="A4363AE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4">
    <w:nsid w:val="2C736ACE"/>
    <w:multiLevelType w:val="multilevel"/>
    <w:tmpl w:val="78E4230C"/>
    <w:lvl w:ilvl="0">
      <w:start w:val="10"/>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nsid w:val="2E0110F1"/>
    <w:multiLevelType w:val="hybridMultilevel"/>
    <w:tmpl w:val="5638F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12D48C3"/>
    <w:multiLevelType w:val="hybridMultilevel"/>
    <w:tmpl w:val="34B69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219228D"/>
    <w:multiLevelType w:val="hybridMultilevel"/>
    <w:tmpl w:val="806AC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2D66E3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33D12472"/>
    <w:multiLevelType w:val="hybridMultilevel"/>
    <w:tmpl w:val="D4FEBD9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0">
    <w:nsid w:val="359C66CD"/>
    <w:multiLevelType w:val="hybridMultilevel"/>
    <w:tmpl w:val="3386FAE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386250F3"/>
    <w:multiLevelType w:val="hybridMultilevel"/>
    <w:tmpl w:val="FD3463C2"/>
    <w:lvl w:ilvl="0" w:tplc="465EDD4E">
      <w:numFmt w:val="bullet"/>
      <w:lvlText w:val="•"/>
      <w:lvlJc w:val="left"/>
      <w:pPr>
        <w:ind w:left="1440" w:hanging="720"/>
      </w:pPr>
      <w:rPr>
        <w:rFonts w:ascii="Calibri" w:eastAsia="Times New Roman" w:hAnsi="Calibri"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AF57C5A"/>
    <w:multiLevelType w:val="hybridMultilevel"/>
    <w:tmpl w:val="BB36BEA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3FDA3CE6"/>
    <w:multiLevelType w:val="hybridMultilevel"/>
    <w:tmpl w:val="193EC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09979C5"/>
    <w:multiLevelType w:val="hybridMultilevel"/>
    <w:tmpl w:val="77C2C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0E130BF"/>
    <w:multiLevelType w:val="hybridMultilevel"/>
    <w:tmpl w:val="940E45B4"/>
    <w:lvl w:ilvl="0" w:tplc="04090003">
      <w:start w:val="1"/>
      <w:numFmt w:val="bullet"/>
      <w:lvlText w:val="o"/>
      <w:lvlJc w:val="left"/>
      <w:pPr>
        <w:ind w:left="1800" w:hanging="360"/>
      </w:pPr>
      <w:rPr>
        <w:rFonts w:ascii="Courier New" w:hAnsi="Courier New" w:cs="Courier New" w:hint="default"/>
      </w:rPr>
    </w:lvl>
    <w:lvl w:ilvl="1" w:tplc="E5DCE120">
      <w:numFmt w:val="bullet"/>
      <w:lvlText w:val="•"/>
      <w:lvlJc w:val="left"/>
      <w:pPr>
        <w:ind w:left="2880" w:hanging="720"/>
      </w:pPr>
      <w:rPr>
        <w:rFonts w:ascii="Calibri" w:eastAsia="Times New Roman" w:hAnsi="Calibri" w:cstheme="minorHAnsi"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41065672"/>
    <w:multiLevelType w:val="hybridMultilevel"/>
    <w:tmpl w:val="436CD9C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446F1FF5"/>
    <w:multiLevelType w:val="hybridMultilevel"/>
    <w:tmpl w:val="77684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614213B"/>
    <w:multiLevelType w:val="hybridMultilevel"/>
    <w:tmpl w:val="2F94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62F4BFD"/>
    <w:multiLevelType w:val="hybridMultilevel"/>
    <w:tmpl w:val="6108E6B2"/>
    <w:lvl w:ilvl="0" w:tplc="04090001">
      <w:start w:val="1"/>
      <w:numFmt w:val="bullet"/>
      <w:lvlText w:val=""/>
      <w:lvlJc w:val="left"/>
      <w:pPr>
        <w:ind w:left="1440" w:hanging="360"/>
      </w:pPr>
      <w:rPr>
        <w:rFonts w:ascii="Symbol" w:hAnsi="Symbol" w:hint="default"/>
      </w:rPr>
    </w:lvl>
    <w:lvl w:ilvl="1" w:tplc="E5DCE120">
      <w:numFmt w:val="bullet"/>
      <w:lvlText w:val="•"/>
      <w:lvlJc w:val="left"/>
      <w:pPr>
        <w:ind w:left="2520" w:hanging="720"/>
      </w:pPr>
      <w:rPr>
        <w:rFonts w:ascii="Calibri" w:eastAsia="Times New Roman" w:hAnsi="Calibri" w:cstheme="minorHAns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77355DD"/>
    <w:multiLevelType w:val="hybridMultilevel"/>
    <w:tmpl w:val="9030F6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9B73070"/>
    <w:multiLevelType w:val="multilevel"/>
    <w:tmpl w:val="3DD810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4AF61156"/>
    <w:multiLevelType w:val="hybridMultilevel"/>
    <w:tmpl w:val="618CA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E920FC7"/>
    <w:multiLevelType w:val="multilevel"/>
    <w:tmpl w:val="3DD810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EAB2925"/>
    <w:multiLevelType w:val="hybridMultilevel"/>
    <w:tmpl w:val="58ECAE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EAF5A84"/>
    <w:multiLevelType w:val="multilevel"/>
    <w:tmpl w:val="674AE0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nsid w:val="4EB53AC0"/>
    <w:multiLevelType w:val="hybridMultilevel"/>
    <w:tmpl w:val="54F6E3C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51881100"/>
    <w:multiLevelType w:val="hybridMultilevel"/>
    <w:tmpl w:val="D94A6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22D5806"/>
    <w:multiLevelType w:val="hybridMultilevel"/>
    <w:tmpl w:val="722A1B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27A666E"/>
    <w:multiLevelType w:val="hybridMultilevel"/>
    <w:tmpl w:val="895AD3D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52E6058B"/>
    <w:multiLevelType w:val="hybridMultilevel"/>
    <w:tmpl w:val="8410E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3095963"/>
    <w:multiLevelType w:val="hybridMultilevel"/>
    <w:tmpl w:val="C20CE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3E13140"/>
    <w:multiLevelType w:val="multilevel"/>
    <w:tmpl w:val="2D5A6166"/>
    <w:lvl w:ilvl="0">
      <w:start w:val="1"/>
      <w:numFmt w:val="decimal"/>
      <w:pStyle w:val="Heading1"/>
      <w:lvlText w:val="%1"/>
      <w:lvlJc w:val="left"/>
      <w:pPr>
        <w:ind w:left="432" w:hanging="432"/>
      </w:pPr>
      <w:rPr>
        <w:b/>
        <w:color w:val="auto"/>
        <w:sz w:val="28"/>
        <w:szCs w:val="28"/>
      </w:rPr>
    </w:lvl>
    <w:lvl w:ilvl="1">
      <w:start w:val="1"/>
      <w:numFmt w:val="decimal"/>
      <w:pStyle w:val="Heading2"/>
      <w:lvlText w:val="%1.%2"/>
      <w:lvlJc w:val="left"/>
      <w:pPr>
        <w:ind w:left="576" w:hanging="576"/>
      </w:pPr>
      <w:rPr>
        <w:b/>
        <w:color w:val="auto"/>
      </w:rPr>
    </w:lvl>
    <w:lvl w:ilvl="2">
      <w:start w:val="1"/>
      <w:numFmt w:val="decimal"/>
      <w:pStyle w:val="Heading3"/>
      <w:lvlText w:val="%1.%2.%3"/>
      <w:lvlJc w:val="left"/>
      <w:pPr>
        <w:ind w:left="3555" w:hanging="720"/>
      </w:pPr>
      <w:rPr>
        <w:rFonts w:asciiTheme="minorHAnsi" w:hAnsiTheme="minorHAnsi" w:hint="default"/>
        <w:b/>
        <w:color w:val="auto"/>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nsid w:val="57BF11D3"/>
    <w:multiLevelType w:val="hybridMultilevel"/>
    <w:tmpl w:val="F24AA9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5B297A8C"/>
    <w:multiLevelType w:val="hybridMultilevel"/>
    <w:tmpl w:val="60749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BDC4505"/>
    <w:multiLevelType w:val="multilevel"/>
    <w:tmpl w:val="8380472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592"/>
        </w:tabs>
        <w:ind w:left="592"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6">
    <w:nsid w:val="5CF906DF"/>
    <w:multiLevelType w:val="hybridMultilevel"/>
    <w:tmpl w:val="92BA7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FDC5248"/>
    <w:multiLevelType w:val="multilevel"/>
    <w:tmpl w:val="F140A2C0"/>
    <w:lvl w:ilvl="0">
      <w:start w:val="1"/>
      <w:numFmt w:val="decimal"/>
      <w:lvlText w:val="%1"/>
      <w:lvlJc w:val="left"/>
      <w:pPr>
        <w:ind w:left="716"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nsid w:val="61C769E5"/>
    <w:multiLevelType w:val="hybridMultilevel"/>
    <w:tmpl w:val="785847F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9">
    <w:nsid w:val="65EE2FEF"/>
    <w:multiLevelType w:val="multilevel"/>
    <w:tmpl w:val="09B4B9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6904069F"/>
    <w:multiLevelType w:val="hybridMultilevel"/>
    <w:tmpl w:val="B7360750"/>
    <w:lvl w:ilvl="0" w:tplc="E5DEF6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690C521D"/>
    <w:multiLevelType w:val="hybridMultilevel"/>
    <w:tmpl w:val="F8C40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9890342"/>
    <w:multiLevelType w:val="hybridMultilevel"/>
    <w:tmpl w:val="3170D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B6B3D4B"/>
    <w:multiLevelType w:val="multilevel"/>
    <w:tmpl w:val="3F2CD3C8"/>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64">
    <w:nsid w:val="6B783384"/>
    <w:multiLevelType w:val="hybridMultilevel"/>
    <w:tmpl w:val="2E7A6A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6C6100DE"/>
    <w:multiLevelType w:val="hybridMultilevel"/>
    <w:tmpl w:val="C38A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004164A"/>
    <w:multiLevelType w:val="hybridMultilevel"/>
    <w:tmpl w:val="0562E94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nsid w:val="7427435F"/>
    <w:multiLevelType w:val="hybridMultilevel"/>
    <w:tmpl w:val="AB9AC3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6E92659"/>
    <w:multiLevelType w:val="hybridMultilevel"/>
    <w:tmpl w:val="BE2086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772B7D45"/>
    <w:multiLevelType w:val="hybridMultilevel"/>
    <w:tmpl w:val="071AE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74A1CAE"/>
    <w:multiLevelType w:val="hybridMultilevel"/>
    <w:tmpl w:val="EA8A2DBA"/>
    <w:lvl w:ilvl="0" w:tplc="04090005">
      <w:start w:val="1"/>
      <w:numFmt w:val="bullet"/>
      <w:lvlText w:val=""/>
      <w:lvlJc w:val="left"/>
      <w:pPr>
        <w:ind w:left="1800" w:hanging="360"/>
      </w:pPr>
      <w:rPr>
        <w:rFonts w:ascii="Wingdings" w:hAnsi="Wingdings" w:hint="default"/>
      </w:rPr>
    </w:lvl>
    <w:lvl w:ilvl="1" w:tplc="E5DCE120">
      <w:numFmt w:val="bullet"/>
      <w:lvlText w:val="•"/>
      <w:lvlJc w:val="left"/>
      <w:pPr>
        <w:ind w:left="2880" w:hanging="720"/>
      </w:pPr>
      <w:rPr>
        <w:rFonts w:ascii="Calibri" w:eastAsia="Times New Roman" w:hAnsi="Calibri" w:cstheme="minorHAnsi"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nsid w:val="79BE4529"/>
    <w:multiLevelType w:val="multilevel"/>
    <w:tmpl w:val="3DD810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DF6212A"/>
    <w:multiLevelType w:val="hybridMultilevel"/>
    <w:tmpl w:val="ED72E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FA76F40"/>
    <w:multiLevelType w:val="multilevel"/>
    <w:tmpl w:val="3DD810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3"/>
  </w:num>
  <w:num w:numId="2">
    <w:abstractNumId w:val="58"/>
  </w:num>
  <w:num w:numId="3">
    <w:abstractNumId w:val="7"/>
  </w:num>
  <w:num w:numId="4">
    <w:abstractNumId w:val="20"/>
  </w:num>
  <w:num w:numId="5">
    <w:abstractNumId w:val="43"/>
  </w:num>
  <w:num w:numId="6">
    <w:abstractNumId w:val="57"/>
  </w:num>
  <w:num w:numId="7">
    <w:abstractNumId w:val="18"/>
  </w:num>
  <w:num w:numId="8">
    <w:abstractNumId w:val="5"/>
  </w:num>
  <w:num w:numId="9">
    <w:abstractNumId w:val="62"/>
  </w:num>
  <w:num w:numId="10">
    <w:abstractNumId w:val="17"/>
  </w:num>
  <w:num w:numId="11">
    <w:abstractNumId w:val="71"/>
  </w:num>
  <w:num w:numId="12">
    <w:abstractNumId w:val="45"/>
  </w:num>
  <w:num w:numId="13">
    <w:abstractNumId w:val="32"/>
  </w:num>
  <w:num w:numId="14">
    <w:abstractNumId w:val="55"/>
  </w:num>
  <w:num w:numId="15">
    <w:abstractNumId w:val="4"/>
  </w:num>
  <w:num w:numId="16">
    <w:abstractNumId w:val="53"/>
  </w:num>
  <w:num w:numId="17">
    <w:abstractNumId w:val="68"/>
  </w:num>
  <w:num w:numId="18">
    <w:abstractNumId w:val="34"/>
  </w:num>
  <w:num w:numId="19">
    <w:abstractNumId w:val="37"/>
  </w:num>
  <w:num w:numId="20">
    <w:abstractNumId w:val="72"/>
  </w:num>
  <w:num w:numId="21">
    <w:abstractNumId w:val="14"/>
  </w:num>
  <w:num w:numId="22">
    <w:abstractNumId w:val="65"/>
  </w:num>
  <w:num w:numId="23">
    <w:abstractNumId w:val="16"/>
  </w:num>
  <w:num w:numId="24">
    <w:abstractNumId w:val="6"/>
  </w:num>
  <w:num w:numId="25">
    <w:abstractNumId w:val="2"/>
  </w:num>
  <w:num w:numId="26">
    <w:abstractNumId w:val="54"/>
  </w:num>
  <w:num w:numId="27">
    <w:abstractNumId w:val="30"/>
    <w:lvlOverride w:ilvl="0"/>
    <w:lvlOverride w:ilvl="1">
      <w:startOverride w:val="1"/>
    </w:lvlOverride>
    <w:lvlOverride w:ilvl="2"/>
    <w:lvlOverride w:ilvl="3"/>
    <w:lvlOverride w:ilvl="4"/>
    <w:lvlOverride w:ilvl="5"/>
    <w:lvlOverride w:ilvl="6"/>
    <w:lvlOverride w:ilvl="7"/>
    <w:lvlOverride w:ilvl="8"/>
  </w:num>
  <w:num w:numId="28">
    <w:abstractNumId w:val="42"/>
  </w:num>
  <w:num w:numId="29">
    <w:abstractNumId w:val="30"/>
  </w:num>
  <w:num w:numId="30">
    <w:abstractNumId w:val="0"/>
  </w:num>
  <w:num w:numId="31">
    <w:abstractNumId w:val="28"/>
  </w:num>
  <w:num w:numId="32">
    <w:abstractNumId w:val="59"/>
  </w:num>
  <w:num w:numId="33">
    <w:abstractNumId w:val="52"/>
  </w:num>
  <w:num w:numId="34">
    <w:abstractNumId w:val="19"/>
  </w:num>
  <w:num w:numId="35">
    <w:abstractNumId w:val="41"/>
  </w:num>
  <w:num w:numId="36">
    <w:abstractNumId w:val="54"/>
  </w:num>
  <w:num w:numId="37">
    <w:abstractNumId w:val="30"/>
    <w:lvlOverride w:ilvl="0"/>
    <w:lvlOverride w:ilvl="1">
      <w:startOverride w:val="1"/>
    </w:lvlOverride>
    <w:lvlOverride w:ilvl="2"/>
    <w:lvlOverride w:ilvl="3"/>
    <w:lvlOverride w:ilvl="4"/>
    <w:lvlOverride w:ilvl="5"/>
    <w:lvlOverride w:ilvl="6"/>
    <w:lvlOverride w:ilvl="7"/>
    <w:lvlOverride w:ilvl="8"/>
  </w:num>
  <w:num w:numId="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num>
  <w:num w:numId="41">
    <w:abstractNumId w:val="13"/>
  </w:num>
  <w:num w:numId="42">
    <w:abstractNumId w:val="60"/>
  </w:num>
  <w:num w:numId="43">
    <w:abstractNumId w:val="22"/>
  </w:num>
  <w:num w:numId="44">
    <w:abstractNumId w:val="27"/>
  </w:num>
  <w:num w:numId="45">
    <w:abstractNumId w:val="61"/>
  </w:num>
  <w:num w:numId="46">
    <w:abstractNumId w:val="38"/>
  </w:num>
  <w:num w:numId="47">
    <w:abstractNumId w:val="69"/>
  </w:num>
  <w:num w:numId="48">
    <w:abstractNumId w:val="9"/>
  </w:num>
  <w:num w:numId="49">
    <w:abstractNumId w:val="47"/>
  </w:num>
  <w:num w:numId="50">
    <w:abstractNumId w:val="52"/>
  </w:num>
  <w:num w:numId="51">
    <w:abstractNumId w:val="15"/>
  </w:num>
  <w:num w:numId="52">
    <w:abstractNumId w:val="8"/>
  </w:num>
  <w:num w:numId="53">
    <w:abstractNumId w:val="24"/>
  </w:num>
  <w:num w:numId="54">
    <w:abstractNumId w:val="39"/>
  </w:num>
  <w:num w:numId="55">
    <w:abstractNumId w:val="50"/>
  </w:num>
  <w:num w:numId="56">
    <w:abstractNumId w:val="21"/>
  </w:num>
  <w:num w:numId="57">
    <w:abstractNumId w:val="51"/>
  </w:num>
  <w:num w:numId="58">
    <w:abstractNumId w:val="52"/>
  </w:num>
  <w:num w:numId="59">
    <w:abstractNumId w:val="52"/>
    <w:lvlOverride w:ilvl="0">
      <w:startOverride w:val="9"/>
    </w:lvlOverride>
  </w:num>
  <w:num w:numId="60">
    <w:abstractNumId w:val="64"/>
  </w:num>
  <w:num w:numId="61">
    <w:abstractNumId w:val="3"/>
  </w:num>
  <w:num w:numId="62">
    <w:abstractNumId w:val="31"/>
  </w:num>
  <w:num w:numId="63">
    <w:abstractNumId w:val="44"/>
  </w:num>
  <w:num w:numId="64">
    <w:abstractNumId w:val="48"/>
  </w:num>
  <w:num w:numId="65">
    <w:abstractNumId w:val="36"/>
  </w:num>
  <w:num w:numId="66">
    <w:abstractNumId w:val="11"/>
  </w:num>
  <w:num w:numId="67">
    <w:abstractNumId w:val="40"/>
  </w:num>
  <w:num w:numId="68">
    <w:abstractNumId w:val="66"/>
  </w:num>
  <w:num w:numId="69">
    <w:abstractNumId w:val="70"/>
  </w:num>
  <w:num w:numId="70">
    <w:abstractNumId w:val="67"/>
  </w:num>
  <w:num w:numId="71">
    <w:abstractNumId w:val="52"/>
  </w:num>
  <w:num w:numId="72">
    <w:abstractNumId w:val="25"/>
  </w:num>
  <w:num w:numId="73">
    <w:abstractNumId w:val="52"/>
  </w:num>
  <w:num w:numId="74">
    <w:abstractNumId w:val="52"/>
  </w:num>
  <w:num w:numId="75">
    <w:abstractNumId w:val="52"/>
  </w:num>
  <w:num w:numId="76">
    <w:abstractNumId w:val="52"/>
  </w:num>
  <w:num w:numId="77">
    <w:abstractNumId w:val="52"/>
  </w:num>
  <w:num w:numId="78">
    <w:abstractNumId w:val="52"/>
  </w:num>
  <w:num w:numId="79">
    <w:abstractNumId w:val="52"/>
  </w:num>
  <w:num w:numId="80">
    <w:abstractNumId w:val="12"/>
  </w:num>
  <w:num w:numId="81">
    <w:abstractNumId w:val="52"/>
    <w:lvlOverride w:ilvl="0">
      <w:startOverride w:val="8"/>
    </w:lvlOverride>
  </w:num>
  <w:num w:numId="82">
    <w:abstractNumId w:val="49"/>
  </w:num>
  <w:num w:numId="83">
    <w:abstractNumId w:val="46"/>
  </w:num>
  <w:num w:numId="84">
    <w:abstractNumId w:val="35"/>
  </w:num>
  <w:num w:numId="85">
    <w:abstractNumId w:val="26"/>
  </w:num>
  <w:num w:numId="86">
    <w:abstractNumId w:val="10"/>
  </w:num>
  <w:num w:numId="87">
    <w:abstractNumId w:val="29"/>
  </w:num>
  <w:num w:numId="88">
    <w:abstractNumId w:val="33"/>
  </w:num>
  <w:num w:numId="89">
    <w:abstractNumId w:val="1"/>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biya Qadeer">
    <w15:presenceInfo w15:providerId="AD" w15:userId="S-1-5-21-1645522239-1960408961-682003330-1095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WAFVersion" w:val="5.0"/>
  </w:docVars>
  <w:rsids>
    <w:rsidRoot w:val="00AB78EA"/>
    <w:rsid w:val="00000096"/>
    <w:rsid w:val="0000093F"/>
    <w:rsid w:val="000045DA"/>
    <w:rsid w:val="00004EBB"/>
    <w:rsid w:val="00005DD9"/>
    <w:rsid w:val="00005DF2"/>
    <w:rsid w:val="00013DB6"/>
    <w:rsid w:val="00016673"/>
    <w:rsid w:val="000216D3"/>
    <w:rsid w:val="00026511"/>
    <w:rsid w:val="00031C66"/>
    <w:rsid w:val="000368AA"/>
    <w:rsid w:val="00036979"/>
    <w:rsid w:val="00037BD0"/>
    <w:rsid w:val="00040CDB"/>
    <w:rsid w:val="00044DC7"/>
    <w:rsid w:val="000456A1"/>
    <w:rsid w:val="00047C78"/>
    <w:rsid w:val="000529BE"/>
    <w:rsid w:val="00052E49"/>
    <w:rsid w:val="00056AA9"/>
    <w:rsid w:val="00063D15"/>
    <w:rsid w:val="00071443"/>
    <w:rsid w:val="000725C1"/>
    <w:rsid w:val="00092877"/>
    <w:rsid w:val="00094024"/>
    <w:rsid w:val="00094B2C"/>
    <w:rsid w:val="000A0848"/>
    <w:rsid w:val="000A1FF3"/>
    <w:rsid w:val="000B5CD9"/>
    <w:rsid w:val="000B6C98"/>
    <w:rsid w:val="000B7DA4"/>
    <w:rsid w:val="000C0329"/>
    <w:rsid w:val="000C0BD1"/>
    <w:rsid w:val="000C5707"/>
    <w:rsid w:val="000D06F2"/>
    <w:rsid w:val="000D380F"/>
    <w:rsid w:val="000D7FB8"/>
    <w:rsid w:val="000E002A"/>
    <w:rsid w:val="000E3892"/>
    <w:rsid w:val="000E5A68"/>
    <w:rsid w:val="000E6337"/>
    <w:rsid w:val="000F0527"/>
    <w:rsid w:val="00103CF7"/>
    <w:rsid w:val="00105733"/>
    <w:rsid w:val="00107703"/>
    <w:rsid w:val="00107C21"/>
    <w:rsid w:val="00112B5D"/>
    <w:rsid w:val="00123436"/>
    <w:rsid w:val="00125DEB"/>
    <w:rsid w:val="001276E4"/>
    <w:rsid w:val="001324D0"/>
    <w:rsid w:val="00132BD9"/>
    <w:rsid w:val="00141AF8"/>
    <w:rsid w:val="001518BF"/>
    <w:rsid w:val="00155565"/>
    <w:rsid w:val="001578EB"/>
    <w:rsid w:val="00164C04"/>
    <w:rsid w:val="001707B3"/>
    <w:rsid w:val="001744B1"/>
    <w:rsid w:val="00174E54"/>
    <w:rsid w:val="00180A47"/>
    <w:rsid w:val="00180AA4"/>
    <w:rsid w:val="00182BC0"/>
    <w:rsid w:val="00183271"/>
    <w:rsid w:val="00187142"/>
    <w:rsid w:val="00187D22"/>
    <w:rsid w:val="0019032D"/>
    <w:rsid w:val="001966B2"/>
    <w:rsid w:val="001974B4"/>
    <w:rsid w:val="001A15FA"/>
    <w:rsid w:val="001A4099"/>
    <w:rsid w:val="001A56D3"/>
    <w:rsid w:val="001A5CD0"/>
    <w:rsid w:val="001A5CFE"/>
    <w:rsid w:val="001B0822"/>
    <w:rsid w:val="001B3BBE"/>
    <w:rsid w:val="001C789C"/>
    <w:rsid w:val="001C7EAA"/>
    <w:rsid w:val="001D30A0"/>
    <w:rsid w:val="001D4D81"/>
    <w:rsid w:val="001D65FC"/>
    <w:rsid w:val="001E5CFE"/>
    <w:rsid w:val="001E5E46"/>
    <w:rsid w:val="001F0EE9"/>
    <w:rsid w:val="001F27E9"/>
    <w:rsid w:val="001F5422"/>
    <w:rsid w:val="001F5FC6"/>
    <w:rsid w:val="002030C1"/>
    <w:rsid w:val="00203442"/>
    <w:rsid w:val="0022562D"/>
    <w:rsid w:val="00230933"/>
    <w:rsid w:val="0023141E"/>
    <w:rsid w:val="00236083"/>
    <w:rsid w:val="002363C6"/>
    <w:rsid w:val="002425B2"/>
    <w:rsid w:val="00245D42"/>
    <w:rsid w:val="0026336C"/>
    <w:rsid w:val="00276FC9"/>
    <w:rsid w:val="002779D5"/>
    <w:rsid w:val="00281A28"/>
    <w:rsid w:val="00286916"/>
    <w:rsid w:val="002907D4"/>
    <w:rsid w:val="00290B3D"/>
    <w:rsid w:val="00290BE6"/>
    <w:rsid w:val="002A3F66"/>
    <w:rsid w:val="002A4E0A"/>
    <w:rsid w:val="002A5046"/>
    <w:rsid w:val="002A6F4A"/>
    <w:rsid w:val="002B0348"/>
    <w:rsid w:val="002B1773"/>
    <w:rsid w:val="002B2D37"/>
    <w:rsid w:val="002B430F"/>
    <w:rsid w:val="002B4C74"/>
    <w:rsid w:val="002B6B8C"/>
    <w:rsid w:val="002B7115"/>
    <w:rsid w:val="002C0481"/>
    <w:rsid w:val="002C7771"/>
    <w:rsid w:val="002D0224"/>
    <w:rsid w:val="002D0B6F"/>
    <w:rsid w:val="002D15DD"/>
    <w:rsid w:val="002D4B30"/>
    <w:rsid w:val="002E056A"/>
    <w:rsid w:val="002E39FA"/>
    <w:rsid w:val="002E408A"/>
    <w:rsid w:val="002E45F4"/>
    <w:rsid w:val="002F0DDB"/>
    <w:rsid w:val="002F5CE4"/>
    <w:rsid w:val="00305102"/>
    <w:rsid w:val="00305AC9"/>
    <w:rsid w:val="00306804"/>
    <w:rsid w:val="00306BF1"/>
    <w:rsid w:val="003076EB"/>
    <w:rsid w:val="003146D9"/>
    <w:rsid w:val="00315F04"/>
    <w:rsid w:val="003239F2"/>
    <w:rsid w:val="00325A1F"/>
    <w:rsid w:val="003311A6"/>
    <w:rsid w:val="00331578"/>
    <w:rsid w:val="00331B33"/>
    <w:rsid w:val="00333384"/>
    <w:rsid w:val="00334290"/>
    <w:rsid w:val="003348C6"/>
    <w:rsid w:val="0033494C"/>
    <w:rsid w:val="00336C0F"/>
    <w:rsid w:val="00341BEC"/>
    <w:rsid w:val="003423E4"/>
    <w:rsid w:val="003437BF"/>
    <w:rsid w:val="00343C4F"/>
    <w:rsid w:val="0034452F"/>
    <w:rsid w:val="003505F0"/>
    <w:rsid w:val="00350DA5"/>
    <w:rsid w:val="00352998"/>
    <w:rsid w:val="003566C9"/>
    <w:rsid w:val="00356A86"/>
    <w:rsid w:val="00366E7C"/>
    <w:rsid w:val="00370FCB"/>
    <w:rsid w:val="00371A2E"/>
    <w:rsid w:val="003736A4"/>
    <w:rsid w:val="00374C36"/>
    <w:rsid w:val="003811B5"/>
    <w:rsid w:val="003843C2"/>
    <w:rsid w:val="00386E31"/>
    <w:rsid w:val="003913EF"/>
    <w:rsid w:val="0039225C"/>
    <w:rsid w:val="00395C8B"/>
    <w:rsid w:val="003974AF"/>
    <w:rsid w:val="003A27B8"/>
    <w:rsid w:val="003A46DE"/>
    <w:rsid w:val="003A60EC"/>
    <w:rsid w:val="003B1941"/>
    <w:rsid w:val="003C0F49"/>
    <w:rsid w:val="003C2369"/>
    <w:rsid w:val="003C2606"/>
    <w:rsid w:val="003C4128"/>
    <w:rsid w:val="003D2EE3"/>
    <w:rsid w:val="003D74B6"/>
    <w:rsid w:val="003E41C0"/>
    <w:rsid w:val="003E5C5D"/>
    <w:rsid w:val="003E631E"/>
    <w:rsid w:val="003F0309"/>
    <w:rsid w:val="003F1203"/>
    <w:rsid w:val="003F1D6D"/>
    <w:rsid w:val="003F360F"/>
    <w:rsid w:val="003F455D"/>
    <w:rsid w:val="003F726D"/>
    <w:rsid w:val="004053F7"/>
    <w:rsid w:val="004065B0"/>
    <w:rsid w:val="00407DFF"/>
    <w:rsid w:val="004156DB"/>
    <w:rsid w:val="00422FB0"/>
    <w:rsid w:val="004267F5"/>
    <w:rsid w:val="004320D7"/>
    <w:rsid w:val="00435E59"/>
    <w:rsid w:val="0043715C"/>
    <w:rsid w:val="004407BD"/>
    <w:rsid w:val="0044182C"/>
    <w:rsid w:val="00442DE4"/>
    <w:rsid w:val="00443653"/>
    <w:rsid w:val="004446C7"/>
    <w:rsid w:val="00444775"/>
    <w:rsid w:val="00446AB7"/>
    <w:rsid w:val="004509D5"/>
    <w:rsid w:val="00450A90"/>
    <w:rsid w:val="00450DC6"/>
    <w:rsid w:val="00454FE8"/>
    <w:rsid w:val="00462191"/>
    <w:rsid w:val="00464954"/>
    <w:rsid w:val="0046612C"/>
    <w:rsid w:val="00470A08"/>
    <w:rsid w:val="004718EC"/>
    <w:rsid w:val="0047379F"/>
    <w:rsid w:val="00474645"/>
    <w:rsid w:val="00481385"/>
    <w:rsid w:val="0048176E"/>
    <w:rsid w:val="00482C7E"/>
    <w:rsid w:val="00486DBE"/>
    <w:rsid w:val="004935BE"/>
    <w:rsid w:val="0049525B"/>
    <w:rsid w:val="004A0D0E"/>
    <w:rsid w:val="004A1818"/>
    <w:rsid w:val="004A3DE6"/>
    <w:rsid w:val="004A45BB"/>
    <w:rsid w:val="004A4D82"/>
    <w:rsid w:val="004B00DD"/>
    <w:rsid w:val="004B5660"/>
    <w:rsid w:val="004B6DD7"/>
    <w:rsid w:val="004C1176"/>
    <w:rsid w:val="004C2FB3"/>
    <w:rsid w:val="004C4DF5"/>
    <w:rsid w:val="004C4F57"/>
    <w:rsid w:val="004C5FD2"/>
    <w:rsid w:val="004D3E25"/>
    <w:rsid w:val="004D5BC2"/>
    <w:rsid w:val="004D78CB"/>
    <w:rsid w:val="004E0D70"/>
    <w:rsid w:val="004E1E68"/>
    <w:rsid w:val="004E4B14"/>
    <w:rsid w:val="004E57CA"/>
    <w:rsid w:val="004E65EB"/>
    <w:rsid w:val="004F55CD"/>
    <w:rsid w:val="004F6408"/>
    <w:rsid w:val="004F7504"/>
    <w:rsid w:val="00502F02"/>
    <w:rsid w:val="0050445A"/>
    <w:rsid w:val="0050490B"/>
    <w:rsid w:val="0050733D"/>
    <w:rsid w:val="005106EB"/>
    <w:rsid w:val="00510F58"/>
    <w:rsid w:val="0051630D"/>
    <w:rsid w:val="00517119"/>
    <w:rsid w:val="005211DF"/>
    <w:rsid w:val="00521311"/>
    <w:rsid w:val="00524858"/>
    <w:rsid w:val="005269A5"/>
    <w:rsid w:val="00530A33"/>
    <w:rsid w:val="00534564"/>
    <w:rsid w:val="005350C4"/>
    <w:rsid w:val="0054230D"/>
    <w:rsid w:val="0056210B"/>
    <w:rsid w:val="00563275"/>
    <w:rsid w:val="005666DE"/>
    <w:rsid w:val="005713C1"/>
    <w:rsid w:val="005714E0"/>
    <w:rsid w:val="00573E87"/>
    <w:rsid w:val="0057630E"/>
    <w:rsid w:val="005803AC"/>
    <w:rsid w:val="00580A4F"/>
    <w:rsid w:val="0058763A"/>
    <w:rsid w:val="005943A9"/>
    <w:rsid w:val="005A2E01"/>
    <w:rsid w:val="005A5EA5"/>
    <w:rsid w:val="005A6B31"/>
    <w:rsid w:val="005A7D1A"/>
    <w:rsid w:val="005B220C"/>
    <w:rsid w:val="005B7173"/>
    <w:rsid w:val="005C0345"/>
    <w:rsid w:val="005C0CE6"/>
    <w:rsid w:val="005C1750"/>
    <w:rsid w:val="005C3669"/>
    <w:rsid w:val="005C460C"/>
    <w:rsid w:val="005C62EB"/>
    <w:rsid w:val="005D13CB"/>
    <w:rsid w:val="005D3A5E"/>
    <w:rsid w:val="005D3C44"/>
    <w:rsid w:val="005D441B"/>
    <w:rsid w:val="005E4828"/>
    <w:rsid w:val="005E6971"/>
    <w:rsid w:val="005F75EA"/>
    <w:rsid w:val="00605A52"/>
    <w:rsid w:val="00606C70"/>
    <w:rsid w:val="00610AAC"/>
    <w:rsid w:val="00615A81"/>
    <w:rsid w:val="006216F0"/>
    <w:rsid w:val="00621FE3"/>
    <w:rsid w:val="00625407"/>
    <w:rsid w:val="0062546E"/>
    <w:rsid w:val="0063078E"/>
    <w:rsid w:val="00634A1B"/>
    <w:rsid w:val="00635D09"/>
    <w:rsid w:val="006452BE"/>
    <w:rsid w:val="00646803"/>
    <w:rsid w:val="0064686F"/>
    <w:rsid w:val="0064693F"/>
    <w:rsid w:val="00647A98"/>
    <w:rsid w:val="00652CA0"/>
    <w:rsid w:val="006544AE"/>
    <w:rsid w:val="00654D46"/>
    <w:rsid w:val="00657B38"/>
    <w:rsid w:val="0066663B"/>
    <w:rsid w:val="00671140"/>
    <w:rsid w:val="006719EF"/>
    <w:rsid w:val="006757FC"/>
    <w:rsid w:val="00683D5C"/>
    <w:rsid w:val="006842CE"/>
    <w:rsid w:val="00685F33"/>
    <w:rsid w:val="0068680E"/>
    <w:rsid w:val="00691D8F"/>
    <w:rsid w:val="006937B3"/>
    <w:rsid w:val="006960A2"/>
    <w:rsid w:val="00696467"/>
    <w:rsid w:val="00697F0E"/>
    <w:rsid w:val="006A1444"/>
    <w:rsid w:val="006A1DB6"/>
    <w:rsid w:val="006A51B0"/>
    <w:rsid w:val="006A6294"/>
    <w:rsid w:val="006A7811"/>
    <w:rsid w:val="006B1F90"/>
    <w:rsid w:val="006B4CC4"/>
    <w:rsid w:val="006B696A"/>
    <w:rsid w:val="006C6C00"/>
    <w:rsid w:val="006D3D3E"/>
    <w:rsid w:val="006E2E5D"/>
    <w:rsid w:val="006E5CCD"/>
    <w:rsid w:val="006E74FF"/>
    <w:rsid w:val="006F3EFC"/>
    <w:rsid w:val="006F7349"/>
    <w:rsid w:val="00711C02"/>
    <w:rsid w:val="00712852"/>
    <w:rsid w:val="007133D4"/>
    <w:rsid w:val="007140EC"/>
    <w:rsid w:val="00714504"/>
    <w:rsid w:val="007236A2"/>
    <w:rsid w:val="007359A2"/>
    <w:rsid w:val="007366E6"/>
    <w:rsid w:val="00736971"/>
    <w:rsid w:val="0074172B"/>
    <w:rsid w:val="00742DBF"/>
    <w:rsid w:val="00744B3B"/>
    <w:rsid w:val="00746F1B"/>
    <w:rsid w:val="0075336B"/>
    <w:rsid w:val="00753971"/>
    <w:rsid w:val="007550EE"/>
    <w:rsid w:val="00760292"/>
    <w:rsid w:val="0076175A"/>
    <w:rsid w:val="00762AE5"/>
    <w:rsid w:val="0077777F"/>
    <w:rsid w:val="00777B07"/>
    <w:rsid w:val="00780ECB"/>
    <w:rsid w:val="007843E2"/>
    <w:rsid w:val="00786673"/>
    <w:rsid w:val="00791308"/>
    <w:rsid w:val="00791836"/>
    <w:rsid w:val="007922F8"/>
    <w:rsid w:val="00793CEB"/>
    <w:rsid w:val="007A0F56"/>
    <w:rsid w:val="007A174A"/>
    <w:rsid w:val="007A2D39"/>
    <w:rsid w:val="007A6703"/>
    <w:rsid w:val="007A6E58"/>
    <w:rsid w:val="007A7D4E"/>
    <w:rsid w:val="007B2AC6"/>
    <w:rsid w:val="007B3E57"/>
    <w:rsid w:val="007B4CB4"/>
    <w:rsid w:val="007B5661"/>
    <w:rsid w:val="007B5ABF"/>
    <w:rsid w:val="007C36E9"/>
    <w:rsid w:val="007C5339"/>
    <w:rsid w:val="007C5486"/>
    <w:rsid w:val="007C6998"/>
    <w:rsid w:val="007C7E03"/>
    <w:rsid w:val="007D16BB"/>
    <w:rsid w:val="007D45E0"/>
    <w:rsid w:val="007D480E"/>
    <w:rsid w:val="007D512F"/>
    <w:rsid w:val="007D53AC"/>
    <w:rsid w:val="007E492D"/>
    <w:rsid w:val="007F3576"/>
    <w:rsid w:val="007F5E30"/>
    <w:rsid w:val="00801C1F"/>
    <w:rsid w:val="008030E6"/>
    <w:rsid w:val="00803EA5"/>
    <w:rsid w:val="0080552D"/>
    <w:rsid w:val="0080706E"/>
    <w:rsid w:val="00811518"/>
    <w:rsid w:val="0081774E"/>
    <w:rsid w:val="0082256B"/>
    <w:rsid w:val="0082272A"/>
    <w:rsid w:val="00822E0F"/>
    <w:rsid w:val="00827A89"/>
    <w:rsid w:val="00830CB7"/>
    <w:rsid w:val="008336D5"/>
    <w:rsid w:val="00835C62"/>
    <w:rsid w:val="008417D9"/>
    <w:rsid w:val="008445B2"/>
    <w:rsid w:val="00844A72"/>
    <w:rsid w:val="00846391"/>
    <w:rsid w:val="0085085D"/>
    <w:rsid w:val="008508EA"/>
    <w:rsid w:val="00850FFF"/>
    <w:rsid w:val="00851F2F"/>
    <w:rsid w:val="00853C82"/>
    <w:rsid w:val="00857E98"/>
    <w:rsid w:val="00860409"/>
    <w:rsid w:val="00860C8D"/>
    <w:rsid w:val="00861DED"/>
    <w:rsid w:val="00862892"/>
    <w:rsid w:val="00863E69"/>
    <w:rsid w:val="0086517F"/>
    <w:rsid w:val="0086682C"/>
    <w:rsid w:val="00866CF6"/>
    <w:rsid w:val="0086770E"/>
    <w:rsid w:val="00870F90"/>
    <w:rsid w:val="00874A34"/>
    <w:rsid w:val="0087626A"/>
    <w:rsid w:val="0087645C"/>
    <w:rsid w:val="00885171"/>
    <w:rsid w:val="00890B99"/>
    <w:rsid w:val="00894AA2"/>
    <w:rsid w:val="0089668F"/>
    <w:rsid w:val="00896993"/>
    <w:rsid w:val="008A52DA"/>
    <w:rsid w:val="008A7AC2"/>
    <w:rsid w:val="008B47B6"/>
    <w:rsid w:val="008C5AEE"/>
    <w:rsid w:val="008C7EA4"/>
    <w:rsid w:val="008D064F"/>
    <w:rsid w:val="008D0671"/>
    <w:rsid w:val="008D5C4D"/>
    <w:rsid w:val="008D6619"/>
    <w:rsid w:val="008D6CBD"/>
    <w:rsid w:val="008E087A"/>
    <w:rsid w:val="008E2240"/>
    <w:rsid w:val="008E28CC"/>
    <w:rsid w:val="008E2AB1"/>
    <w:rsid w:val="008E729A"/>
    <w:rsid w:val="008F1F4C"/>
    <w:rsid w:val="008F524F"/>
    <w:rsid w:val="008F6F82"/>
    <w:rsid w:val="008F7481"/>
    <w:rsid w:val="009077F5"/>
    <w:rsid w:val="00911757"/>
    <w:rsid w:val="009166B1"/>
    <w:rsid w:val="00935B23"/>
    <w:rsid w:val="0093650B"/>
    <w:rsid w:val="00936C81"/>
    <w:rsid w:val="00937274"/>
    <w:rsid w:val="0094336B"/>
    <w:rsid w:val="00944461"/>
    <w:rsid w:val="00950349"/>
    <w:rsid w:val="00952128"/>
    <w:rsid w:val="00960A9B"/>
    <w:rsid w:val="00964A86"/>
    <w:rsid w:val="0096668A"/>
    <w:rsid w:val="009704FF"/>
    <w:rsid w:val="00972722"/>
    <w:rsid w:val="0097395C"/>
    <w:rsid w:val="00975E82"/>
    <w:rsid w:val="00975EDE"/>
    <w:rsid w:val="00983318"/>
    <w:rsid w:val="009858E3"/>
    <w:rsid w:val="00991E20"/>
    <w:rsid w:val="0099405E"/>
    <w:rsid w:val="0099536A"/>
    <w:rsid w:val="0099686B"/>
    <w:rsid w:val="009A2D80"/>
    <w:rsid w:val="009A50C9"/>
    <w:rsid w:val="009A73F8"/>
    <w:rsid w:val="009C2B8A"/>
    <w:rsid w:val="009C3B37"/>
    <w:rsid w:val="009D0FC6"/>
    <w:rsid w:val="009D35CB"/>
    <w:rsid w:val="009D364C"/>
    <w:rsid w:val="009D3794"/>
    <w:rsid w:val="009D4F17"/>
    <w:rsid w:val="009D6A36"/>
    <w:rsid w:val="009F3583"/>
    <w:rsid w:val="009F3610"/>
    <w:rsid w:val="009F6743"/>
    <w:rsid w:val="00A01CA1"/>
    <w:rsid w:val="00A05EAC"/>
    <w:rsid w:val="00A14F30"/>
    <w:rsid w:val="00A174BE"/>
    <w:rsid w:val="00A3297B"/>
    <w:rsid w:val="00A367C5"/>
    <w:rsid w:val="00A40735"/>
    <w:rsid w:val="00A4591F"/>
    <w:rsid w:val="00A467DA"/>
    <w:rsid w:val="00A46ED2"/>
    <w:rsid w:val="00A52D01"/>
    <w:rsid w:val="00A550EE"/>
    <w:rsid w:val="00A56BB7"/>
    <w:rsid w:val="00A5740B"/>
    <w:rsid w:val="00A62ED3"/>
    <w:rsid w:val="00A65DDB"/>
    <w:rsid w:val="00A70BE0"/>
    <w:rsid w:val="00A74EE3"/>
    <w:rsid w:val="00A762C8"/>
    <w:rsid w:val="00A77411"/>
    <w:rsid w:val="00A83979"/>
    <w:rsid w:val="00A85516"/>
    <w:rsid w:val="00A85DC2"/>
    <w:rsid w:val="00A9028A"/>
    <w:rsid w:val="00A90DB6"/>
    <w:rsid w:val="00A9741F"/>
    <w:rsid w:val="00AA0A69"/>
    <w:rsid w:val="00AA160C"/>
    <w:rsid w:val="00AB315D"/>
    <w:rsid w:val="00AB3B63"/>
    <w:rsid w:val="00AB3D58"/>
    <w:rsid w:val="00AB43BB"/>
    <w:rsid w:val="00AB78EA"/>
    <w:rsid w:val="00AC504A"/>
    <w:rsid w:val="00AC50B2"/>
    <w:rsid w:val="00AC6313"/>
    <w:rsid w:val="00AC64AE"/>
    <w:rsid w:val="00AC6B1C"/>
    <w:rsid w:val="00AD29D0"/>
    <w:rsid w:val="00AE1B96"/>
    <w:rsid w:val="00AE2D96"/>
    <w:rsid w:val="00AE5CA6"/>
    <w:rsid w:val="00AE6B47"/>
    <w:rsid w:val="00AF1599"/>
    <w:rsid w:val="00AF4EDD"/>
    <w:rsid w:val="00B01272"/>
    <w:rsid w:val="00B04345"/>
    <w:rsid w:val="00B070B4"/>
    <w:rsid w:val="00B103B0"/>
    <w:rsid w:val="00B11617"/>
    <w:rsid w:val="00B1450F"/>
    <w:rsid w:val="00B14D23"/>
    <w:rsid w:val="00B20A6E"/>
    <w:rsid w:val="00B21453"/>
    <w:rsid w:val="00B21F91"/>
    <w:rsid w:val="00B26E3D"/>
    <w:rsid w:val="00B32AEF"/>
    <w:rsid w:val="00B35061"/>
    <w:rsid w:val="00B35E1C"/>
    <w:rsid w:val="00B35E39"/>
    <w:rsid w:val="00B40814"/>
    <w:rsid w:val="00B44661"/>
    <w:rsid w:val="00B531A6"/>
    <w:rsid w:val="00B54D71"/>
    <w:rsid w:val="00B560DA"/>
    <w:rsid w:val="00B5637B"/>
    <w:rsid w:val="00B56CD6"/>
    <w:rsid w:val="00B5777B"/>
    <w:rsid w:val="00B6322B"/>
    <w:rsid w:val="00B92A34"/>
    <w:rsid w:val="00B95B3F"/>
    <w:rsid w:val="00BA237C"/>
    <w:rsid w:val="00BA371A"/>
    <w:rsid w:val="00BA4E7E"/>
    <w:rsid w:val="00BA6198"/>
    <w:rsid w:val="00BA681C"/>
    <w:rsid w:val="00BA75F4"/>
    <w:rsid w:val="00BB03AB"/>
    <w:rsid w:val="00BB11D0"/>
    <w:rsid w:val="00BC2339"/>
    <w:rsid w:val="00BC6897"/>
    <w:rsid w:val="00BC6FB6"/>
    <w:rsid w:val="00BD008F"/>
    <w:rsid w:val="00BD53F7"/>
    <w:rsid w:val="00BD5B1C"/>
    <w:rsid w:val="00BE1805"/>
    <w:rsid w:val="00BE1D24"/>
    <w:rsid w:val="00BE1F71"/>
    <w:rsid w:val="00BE200C"/>
    <w:rsid w:val="00BF1805"/>
    <w:rsid w:val="00BF1EF6"/>
    <w:rsid w:val="00BF3758"/>
    <w:rsid w:val="00BF4C74"/>
    <w:rsid w:val="00C0168C"/>
    <w:rsid w:val="00C02C33"/>
    <w:rsid w:val="00C108BA"/>
    <w:rsid w:val="00C11060"/>
    <w:rsid w:val="00C11211"/>
    <w:rsid w:val="00C17FCE"/>
    <w:rsid w:val="00C22C59"/>
    <w:rsid w:val="00C30F8C"/>
    <w:rsid w:val="00C3150F"/>
    <w:rsid w:val="00C4204E"/>
    <w:rsid w:val="00C43445"/>
    <w:rsid w:val="00C50267"/>
    <w:rsid w:val="00C53F8F"/>
    <w:rsid w:val="00C54C1C"/>
    <w:rsid w:val="00C54C86"/>
    <w:rsid w:val="00C55B40"/>
    <w:rsid w:val="00C565E5"/>
    <w:rsid w:val="00C60CF3"/>
    <w:rsid w:val="00C6108E"/>
    <w:rsid w:val="00C6322E"/>
    <w:rsid w:val="00C64DAA"/>
    <w:rsid w:val="00C70271"/>
    <w:rsid w:val="00C728FC"/>
    <w:rsid w:val="00C7524C"/>
    <w:rsid w:val="00C75B57"/>
    <w:rsid w:val="00C77B48"/>
    <w:rsid w:val="00C80EFB"/>
    <w:rsid w:val="00C86DC8"/>
    <w:rsid w:val="00C91822"/>
    <w:rsid w:val="00C92083"/>
    <w:rsid w:val="00C94409"/>
    <w:rsid w:val="00C9615B"/>
    <w:rsid w:val="00C97AEE"/>
    <w:rsid w:val="00CA2382"/>
    <w:rsid w:val="00CA3796"/>
    <w:rsid w:val="00CB0CA9"/>
    <w:rsid w:val="00CB0E66"/>
    <w:rsid w:val="00CB36C9"/>
    <w:rsid w:val="00CB600C"/>
    <w:rsid w:val="00CC0864"/>
    <w:rsid w:val="00CC523E"/>
    <w:rsid w:val="00CC7CFB"/>
    <w:rsid w:val="00CD1A7F"/>
    <w:rsid w:val="00CD2461"/>
    <w:rsid w:val="00CD3D4B"/>
    <w:rsid w:val="00CD4ECB"/>
    <w:rsid w:val="00CD5A86"/>
    <w:rsid w:val="00CD7149"/>
    <w:rsid w:val="00CD78E9"/>
    <w:rsid w:val="00CD794B"/>
    <w:rsid w:val="00CF01B8"/>
    <w:rsid w:val="00CF2385"/>
    <w:rsid w:val="00CF53C2"/>
    <w:rsid w:val="00D014A3"/>
    <w:rsid w:val="00D016AF"/>
    <w:rsid w:val="00D03E8F"/>
    <w:rsid w:val="00D05EAE"/>
    <w:rsid w:val="00D06510"/>
    <w:rsid w:val="00D10CEE"/>
    <w:rsid w:val="00D11C47"/>
    <w:rsid w:val="00D15843"/>
    <w:rsid w:val="00D23A4E"/>
    <w:rsid w:val="00D2619C"/>
    <w:rsid w:val="00D27DA6"/>
    <w:rsid w:val="00D361D7"/>
    <w:rsid w:val="00D44378"/>
    <w:rsid w:val="00D448EF"/>
    <w:rsid w:val="00D520E1"/>
    <w:rsid w:val="00D54C0A"/>
    <w:rsid w:val="00D576B0"/>
    <w:rsid w:val="00D57C87"/>
    <w:rsid w:val="00D6278C"/>
    <w:rsid w:val="00D64151"/>
    <w:rsid w:val="00D66459"/>
    <w:rsid w:val="00D735C0"/>
    <w:rsid w:val="00D75ACD"/>
    <w:rsid w:val="00D765AF"/>
    <w:rsid w:val="00D86CE1"/>
    <w:rsid w:val="00D87BE9"/>
    <w:rsid w:val="00D95A51"/>
    <w:rsid w:val="00DA1B5B"/>
    <w:rsid w:val="00DA20B2"/>
    <w:rsid w:val="00DA63EE"/>
    <w:rsid w:val="00DA7071"/>
    <w:rsid w:val="00DB1AC2"/>
    <w:rsid w:val="00DB6A29"/>
    <w:rsid w:val="00DC29C6"/>
    <w:rsid w:val="00DC3378"/>
    <w:rsid w:val="00DC415C"/>
    <w:rsid w:val="00DD4870"/>
    <w:rsid w:val="00DD7382"/>
    <w:rsid w:val="00DE092A"/>
    <w:rsid w:val="00DF361E"/>
    <w:rsid w:val="00DF58BF"/>
    <w:rsid w:val="00E00638"/>
    <w:rsid w:val="00E01CC2"/>
    <w:rsid w:val="00E04832"/>
    <w:rsid w:val="00E06569"/>
    <w:rsid w:val="00E17308"/>
    <w:rsid w:val="00E2171B"/>
    <w:rsid w:val="00E22805"/>
    <w:rsid w:val="00E2640F"/>
    <w:rsid w:val="00E271EB"/>
    <w:rsid w:val="00E319A8"/>
    <w:rsid w:val="00E31FDA"/>
    <w:rsid w:val="00E33073"/>
    <w:rsid w:val="00E33690"/>
    <w:rsid w:val="00E3454A"/>
    <w:rsid w:val="00E4000D"/>
    <w:rsid w:val="00E40B2F"/>
    <w:rsid w:val="00E410CF"/>
    <w:rsid w:val="00E41E05"/>
    <w:rsid w:val="00E42BE4"/>
    <w:rsid w:val="00E4462C"/>
    <w:rsid w:val="00E474D8"/>
    <w:rsid w:val="00E47D9F"/>
    <w:rsid w:val="00E51D7D"/>
    <w:rsid w:val="00E60F97"/>
    <w:rsid w:val="00E64628"/>
    <w:rsid w:val="00E671F3"/>
    <w:rsid w:val="00E71386"/>
    <w:rsid w:val="00E7141D"/>
    <w:rsid w:val="00E71B7C"/>
    <w:rsid w:val="00E7220A"/>
    <w:rsid w:val="00E726A0"/>
    <w:rsid w:val="00E72F0F"/>
    <w:rsid w:val="00E73EAC"/>
    <w:rsid w:val="00E760C2"/>
    <w:rsid w:val="00E82FB8"/>
    <w:rsid w:val="00E834A4"/>
    <w:rsid w:val="00E86378"/>
    <w:rsid w:val="00E934D5"/>
    <w:rsid w:val="00EA0E1F"/>
    <w:rsid w:val="00EA2759"/>
    <w:rsid w:val="00EB0F25"/>
    <w:rsid w:val="00EB28DE"/>
    <w:rsid w:val="00EB7EEA"/>
    <w:rsid w:val="00EC18F2"/>
    <w:rsid w:val="00EC3F0C"/>
    <w:rsid w:val="00EC4C60"/>
    <w:rsid w:val="00EC5EBD"/>
    <w:rsid w:val="00ED102F"/>
    <w:rsid w:val="00ED558E"/>
    <w:rsid w:val="00EE3219"/>
    <w:rsid w:val="00EE3F2B"/>
    <w:rsid w:val="00EE411F"/>
    <w:rsid w:val="00EE422A"/>
    <w:rsid w:val="00EF0703"/>
    <w:rsid w:val="00EF2D36"/>
    <w:rsid w:val="00EF411B"/>
    <w:rsid w:val="00EF6591"/>
    <w:rsid w:val="00EF74B3"/>
    <w:rsid w:val="00F06FB3"/>
    <w:rsid w:val="00F1335C"/>
    <w:rsid w:val="00F148F7"/>
    <w:rsid w:val="00F174DB"/>
    <w:rsid w:val="00F33E90"/>
    <w:rsid w:val="00F375D8"/>
    <w:rsid w:val="00F414A5"/>
    <w:rsid w:val="00F42806"/>
    <w:rsid w:val="00F434AF"/>
    <w:rsid w:val="00F4412D"/>
    <w:rsid w:val="00F45FD4"/>
    <w:rsid w:val="00F51302"/>
    <w:rsid w:val="00F51577"/>
    <w:rsid w:val="00F54EAB"/>
    <w:rsid w:val="00F55A2C"/>
    <w:rsid w:val="00F64D34"/>
    <w:rsid w:val="00F65750"/>
    <w:rsid w:val="00F70D90"/>
    <w:rsid w:val="00F7129B"/>
    <w:rsid w:val="00F77AA8"/>
    <w:rsid w:val="00F77E01"/>
    <w:rsid w:val="00F81516"/>
    <w:rsid w:val="00F84F58"/>
    <w:rsid w:val="00F85F30"/>
    <w:rsid w:val="00F8633C"/>
    <w:rsid w:val="00F94900"/>
    <w:rsid w:val="00F96659"/>
    <w:rsid w:val="00FA18AF"/>
    <w:rsid w:val="00FA2228"/>
    <w:rsid w:val="00FA4471"/>
    <w:rsid w:val="00FB0B01"/>
    <w:rsid w:val="00FB3BDB"/>
    <w:rsid w:val="00FB74CF"/>
    <w:rsid w:val="00FC405D"/>
    <w:rsid w:val="00FC674B"/>
    <w:rsid w:val="00FC7561"/>
    <w:rsid w:val="00FD4247"/>
    <w:rsid w:val="00FD7B71"/>
    <w:rsid w:val="00FE1188"/>
    <w:rsid w:val="00FE25DB"/>
    <w:rsid w:val="00FE33FF"/>
    <w:rsid w:val="00FE4477"/>
    <w:rsid w:val="00FE74E3"/>
    <w:rsid w:val="00FF0D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D39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9A5"/>
    <w:pPr>
      <w:spacing w:after="0" w:line="240" w:lineRule="auto"/>
      <w:ind w:left="720"/>
    </w:pPr>
    <w:rPr>
      <w:rFonts w:ascii="Arial" w:eastAsia="Times New Roman" w:hAnsi="Arial" w:cs="Times New Roman"/>
      <w:szCs w:val="20"/>
      <w:lang w:val="en-US"/>
    </w:rPr>
  </w:style>
  <w:style w:type="paragraph" w:styleId="Heading1">
    <w:name w:val="heading 1"/>
    <w:basedOn w:val="Normal"/>
    <w:next w:val="Normal"/>
    <w:link w:val="Heading1Char"/>
    <w:uiPriority w:val="9"/>
    <w:qFormat/>
    <w:rsid w:val="00AB78EA"/>
    <w:pPr>
      <w:keepNext/>
      <w:keepLines/>
      <w:numPr>
        <w:numId w:val="33"/>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Topic Heading,PI Heading 2"/>
    <w:basedOn w:val="Normal"/>
    <w:next w:val="Normal"/>
    <w:link w:val="Heading2Char"/>
    <w:unhideWhenUsed/>
    <w:qFormat/>
    <w:rsid w:val="00E51D7D"/>
    <w:pPr>
      <w:keepNext/>
      <w:keepLines/>
      <w:numPr>
        <w:ilvl w:val="1"/>
        <w:numId w:val="33"/>
      </w:numPr>
      <w:spacing w:before="40"/>
      <w:outlineLvl w:val="1"/>
    </w:pPr>
    <w:rPr>
      <w:rFonts w:ascii="Calibri" w:eastAsiaTheme="majorEastAsia" w:hAnsi="Calibri" w:cstheme="majorBidi"/>
      <w:b/>
      <w:bCs/>
      <w:sz w:val="24"/>
      <w:szCs w:val="24"/>
    </w:rPr>
  </w:style>
  <w:style w:type="paragraph" w:styleId="Heading3">
    <w:name w:val="heading 3"/>
    <w:basedOn w:val="Normal"/>
    <w:next w:val="Normal"/>
    <w:link w:val="Heading3Char"/>
    <w:uiPriority w:val="9"/>
    <w:unhideWhenUsed/>
    <w:qFormat/>
    <w:rsid w:val="00CC523E"/>
    <w:pPr>
      <w:keepNext/>
      <w:keepLines/>
      <w:numPr>
        <w:ilvl w:val="2"/>
        <w:numId w:val="33"/>
      </w:numPr>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4591F"/>
    <w:pPr>
      <w:keepNext/>
      <w:keepLines/>
      <w:numPr>
        <w:ilvl w:val="3"/>
        <w:numId w:val="33"/>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4591F"/>
    <w:pPr>
      <w:keepNext/>
      <w:keepLines/>
      <w:numPr>
        <w:ilvl w:val="4"/>
        <w:numId w:val="33"/>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4591F"/>
    <w:pPr>
      <w:keepNext/>
      <w:keepLines/>
      <w:numPr>
        <w:ilvl w:val="5"/>
        <w:numId w:val="33"/>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4591F"/>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4591F"/>
    <w:pPr>
      <w:keepNext/>
      <w:keepLines/>
      <w:numPr>
        <w:ilvl w:val="7"/>
        <w:numId w:val="33"/>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4591F"/>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8EA"/>
    <w:pPr>
      <w:tabs>
        <w:tab w:val="center" w:pos="4513"/>
        <w:tab w:val="right" w:pos="9026"/>
      </w:tabs>
    </w:pPr>
  </w:style>
  <w:style w:type="character" w:customStyle="1" w:styleId="HeaderChar">
    <w:name w:val="Header Char"/>
    <w:basedOn w:val="DefaultParagraphFont"/>
    <w:link w:val="Header"/>
    <w:uiPriority w:val="99"/>
    <w:rsid w:val="00AB78EA"/>
    <w:rPr>
      <w:rFonts w:ascii="Arial" w:eastAsia="Times New Roman" w:hAnsi="Arial" w:cs="Times New Roman"/>
      <w:szCs w:val="20"/>
      <w:lang w:val="en-US"/>
    </w:rPr>
  </w:style>
  <w:style w:type="paragraph" w:styleId="Footer">
    <w:name w:val="footer"/>
    <w:basedOn w:val="Normal"/>
    <w:link w:val="FooterChar"/>
    <w:uiPriority w:val="99"/>
    <w:unhideWhenUsed/>
    <w:rsid w:val="00AB78EA"/>
    <w:pPr>
      <w:tabs>
        <w:tab w:val="center" w:pos="4513"/>
        <w:tab w:val="right" w:pos="9026"/>
      </w:tabs>
    </w:pPr>
  </w:style>
  <w:style w:type="character" w:customStyle="1" w:styleId="FooterChar">
    <w:name w:val="Footer Char"/>
    <w:basedOn w:val="DefaultParagraphFont"/>
    <w:link w:val="Footer"/>
    <w:uiPriority w:val="99"/>
    <w:rsid w:val="00AB78EA"/>
    <w:rPr>
      <w:rFonts w:ascii="Arial" w:eastAsia="Times New Roman" w:hAnsi="Arial" w:cs="Times New Roman"/>
      <w:szCs w:val="20"/>
      <w:lang w:val="en-US"/>
    </w:rPr>
  </w:style>
  <w:style w:type="character" w:customStyle="1" w:styleId="Heading1Char">
    <w:name w:val="Heading 1 Char"/>
    <w:basedOn w:val="DefaultParagraphFont"/>
    <w:link w:val="Heading1"/>
    <w:uiPriority w:val="9"/>
    <w:rsid w:val="00AB78EA"/>
    <w:rPr>
      <w:rFonts w:asciiTheme="majorHAnsi" w:eastAsiaTheme="majorEastAsia" w:hAnsiTheme="majorHAnsi" w:cstheme="majorBidi"/>
      <w:color w:val="2E74B5" w:themeColor="accent1" w:themeShade="BF"/>
      <w:sz w:val="32"/>
      <w:szCs w:val="32"/>
      <w:lang w:val="en-US"/>
    </w:rPr>
  </w:style>
  <w:style w:type="paragraph" w:styleId="ListParagraph">
    <w:name w:val="List Paragraph"/>
    <w:basedOn w:val="Normal"/>
    <w:link w:val="ListParagraphChar"/>
    <w:uiPriority w:val="34"/>
    <w:qFormat/>
    <w:rsid w:val="00AB78EA"/>
    <w:pPr>
      <w:contextualSpacing/>
    </w:pPr>
  </w:style>
  <w:style w:type="paragraph" w:styleId="TOCHeading">
    <w:name w:val="TOC Heading"/>
    <w:basedOn w:val="Heading1"/>
    <w:next w:val="Normal"/>
    <w:uiPriority w:val="39"/>
    <w:unhideWhenUsed/>
    <w:qFormat/>
    <w:rsid w:val="00AB78EA"/>
    <w:pPr>
      <w:spacing w:line="259" w:lineRule="auto"/>
      <w:ind w:left="0"/>
      <w:outlineLvl w:val="9"/>
    </w:pPr>
  </w:style>
  <w:style w:type="paragraph" w:styleId="TOC1">
    <w:name w:val="toc 1"/>
    <w:basedOn w:val="Normal"/>
    <w:next w:val="Normal"/>
    <w:autoRedefine/>
    <w:uiPriority w:val="39"/>
    <w:unhideWhenUsed/>
    <w:rsid w:val="005B7173"/>
    <w:pPr>
      <w:tabs>
        <w:tab w:val="left" w:pos="440"/>
        <w:tab w:val="right" w:leader="dot" w:pos="9016"/>
      </w:tabs>
      <w:spacing w:after="100"/>
      <w:ind w:left="0"/>
    </w:pPr>
    <w:rPr>
      <w:rFonts w:asciiTheme="minorHAnsi" w:hAnsiTheme="minorHAnsi"/>
      <w:b/>
      <w:szCs w:val="22"/>
    </w:rPr>
  </w:style>
  <w:style w:type="character" w:styleId="Hyperlink">
    <w:name w:val="Hyperlink"/>
    <w:basedOn w:val="DefaultParagraphFont"/>
    <w:uiPriority w:val="99"/>
    <w:unhideWhenUsed/>
    <w:rsid w:val="00AB78EA"/>
    <w:rPr>
      <w:color w:val="0563C1" w:themeColor="hyperlink"/>
      <w:u w:val="single"/>
    </w:rPr>
  </w:style>
  <w:style w:type="paragraph" w:styleId="FootnoteText">
    <w:name w:val="footnote text"/>
    <w:basedOn w:val="Normal"/>
    <w:link w:val="FootnoteTextChar"/>
    <w:uiPriority w:val="99"/>
    <w:unhideWhenUsed/>
    <w:rsid w:val="00AB78EA"/>
    <w:rPr>
      <w:sz w:val="20"/>
    </w:rPr>
  </w:style>
  <w:style w:type="character" w:customStyle="1" w:styleId="FootnoteTextChar">
    <w:name w:val="Footnote Text Char"/>
    <w:basedOn w:val="DefaultParagraphFont"/>
    <w:link w:val="FootnoteText"/>
    <w:uiPriority w:val="99"/>
    <w:rsid w:val="00AB78EA"/>
    <w:rPr>
      <w:rFonts w:ascii="Arial" w:eastAsia="Times New Roman" w:hAnsi="Arial" w:cs="Times New Roman"/>
      <w:sz w:val="20"/>
      <w:szCs w:val="20"/>
      <w:lang w:val="en-US"/>
    </w:rPr>
  </w:style>
  <w:style w:type="character" w:styleId="FootnoteReference">
    <w:name w:val="footnote reference"/>
    <w:basedOn w:val="DefaultParagraphFont"/>
    <w:uiPriority w:val="99"/>
    <w:unhideWhenUsed/>
    <w:rsid w:val="00AB78EA"/>
    <w:rPr>
      <w:vertAlign w:val="superscript"/>
    </w:rPr>
  </w:style>
  <w:style w:type="character" w:customStyle="1" w:styleId="Heading2Char">
    <w:name w:val="Heading 2 Char"/>
    <w:aliases w:val="H2 Char,Topic Heading Char,PI Heading 2 Char"/>
    <w:basedOn w:val="DefaultParagraphFont"/>
    <w:link w:val="Heading2"/>
    <w:rsid w:val="00E51D7D"/>
    <w:rPr>
      <w:rFonts w:ascii="Calibri" w:eastAsiaTheme="majorEastAsia" w:hAnsi="Calibri" w:cstheme="majorBidi"/>
      <w:b/>
      <w:bCs/>
      <w:sz w:val="24"/>
      <w:szCs w:val="24"/>
      <w:lang w:val="en-US"/>
    </w:rPr>
  </w:style>
  <w:style w:type="paragraph" w:styleId="TOC2">
    <w:name w:val="toc 2"/>
    <w:basedOn w:val="Normal"/>
    <w:next w:val="Normal"/>
    <w:autoRedefine/>
    <w:uiPriority w:val="39"/>
    <w:unhideWhenUsed/>
    <w:rsid w:val="00EF2D36"/>
    <w:pPr>
      <w:spacing w:after="100"/>
      <w:ind w:left="220"/>
    </w:pPr>
  </w:style>
  <w:style w:type="paragraph" w:styleId="BalloonText">
    <w:name w:val="Balloon Text"/>
    <w:basedOn w:val="Normal"/>
    <w:link w:val="BalloonTextChar"/>
    <w:uiPriority w:val="99"/>
    <w:semiHidden/>
    <w:unhideWhenUsed/>
    <w:rsid w:val="006468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86F"/>
    <w:rPr>
      <w:rFonts w:ascii="Segoe UI" w:eastAsia="Times New Roman" w:hAnsi="Segoe UI" w:cs="Segoe UI"/>
      <w:sz w:val="18"/>
      <w:szCs w:val="18"/>
      <w:lang w:val="en-US"/>
    </w:rPr>
  </w:style>
  <w:style w:type="paragraph" w:styleId="NoSpacing">
    <w:name w:val="No Spacing"/>
    <w:uiPriority w:val="1"/>
    <w:qFormat/>
    <w:rsid w:val="002B4C74"/>
    <w:pPr>
      <w:spacing w:after="0" w:line="240" w:lineRule="auto"/>
    </w:pPr>
    <w:rPr>
      <w:rFonts w:ascii="Arial" w:eastAsia="Cambria" w:hAnsi="Arial" w:cs="Times New Roman"/>
      <w:color w:val="58595B"/>
      <w:sz w:val="20"/>
      <w:szCs w:val="24"/>
      <w:lang w:val="en-US"/>
    </w:rPr>
  </w:style>
  <w:style w:type="character" w:customStyle="1" w:styleId="ListParagraphChar">
    <w:name w:val="List Paragraph Char"/>
    <w:basedOn w:val="DefaultParagraphFont"/>
    <w:link w:val="ListParagraph"/>
    <w:uiPriority w:val="34"/>
    <w:locked/>
    <w:rsid w:val="002B4C74"/>
    <w:rPr>
      <w:rFonts w:ascii="Arial" w:eastAsia="Times New Roman" w:hAnsi="Arial" w:cs="Times New Roman"/>
      <w:szCs w:val="20"/>
      <w:lang w:val="en-US"/>
    </w:rPr>
  </w:style>
  <w:style w:type="table" w:styleId="TableGrid">
    <w:name w:val="Table Grid"/>
    <w:basedOn w:val="TableNormal"/>
    <w:uiPriority w:val="59"/>
    <w:rsid w:val="00333384"/>
    <w:pPr>
      <w:spacing w:after="0" w:line="240" w:lineRule="auto"/>
    </w:pPr>
    <w:rPr>
      <w:rFonts w:ascii="Times New Roman" w:eastAsia="SimSu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9D0FC6"/>
    <w:pPr>
      <w:spacing w:after="0" w:line="240" w:lineRule="auto"/>
    </w:pPr>
    <w:rPr>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List1-Accent1">
    <w:name w:val="Medium List 1 Accent 1"/>
    <w:basedOn w:val="TableNormal"/>
    <w:uiPriority w:val="65"/>
    <w:rsid w:val="00306BF1"/>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character" w:customStyle="1" w:styleId="Heading3Char">
    <w:name w:val="Heading 3 Char"/>
    <w:basedOn w:val="DefaultParagraphFont"/>
    <w:link w:val="Heading3"/>
    <w:uiPriority w:val="9"/>
    <w:rsid w:val="00CC523E"/>
    <w:rPr>
      <w:rFonts w:asciiTheme="majorHAnsi" w:eastAsiaTheme="majorEastAsia" w:hAnsiTheme="majorHAnsi" w:cstheme="majorBidi"/>
      <w:b/>
      <w:bCs/>
      <w:color w:val="5B9BD5" w:themeColor="accent1"/>
      <w:szCs w:val="20"/>
      <w:lang w:val="en-US"/>
    </w:rPr>
  </w:style>
  <w:style w:type="character" w:customStyle="1" w:styleId="Heading4Char">
    <w:name w:val="Heading 4 Char"/>
    <w:basedOn w:val="DefaultParagraphFont"/>
    <w:link w:val="Heading4"/>
    <w:uiPriority w:val="9"/>
    <w:rsid w:val="00A4591F"/>
    <w:rPr>
      <w:rFonts w:asciiTheme="majorHAnsi" w:eastAsiaTheme="majorEastAsia" w:hAnsiTheme="majorHAnsi" w:cstheme="majorBidi"/>
      <w:b/>
      <w:bCs/>
      <w:i/>
      <w:iCs/>
      <w:color w:val="5B9BD5" w:themeColor="accent1"/>
      <w:szCs w:val="20"/>
      <w:lang w:val="en-US"/>
    </w:rPr>
  </w:style>
  <w:style w:type="character" w:customStyle="1" w:styleId="Heading5Char">
    <w:name w:val="Heading 5 Char"/>
    <w:basedOn w:val="DefaultParagraphFont"/>
    <w:link w:val="Heading5"/>
    <w:uiPriority w:val="9"/>
    <w:semiHidden/>
    <w:rsid w:val="00A4591F"/>
    <w:rPr>
      <w:rFonts w:asciiTheme="majorHAnsi" w:eastAsiaTheme="majorEastAsia" w:hAnsiTheme="majorHAnsi" w:cstheme="majorBidi"/>
      <w:color w:val="1F4D78" w:themeColor="accent1" w:themeShade="7F"/>
      <w:szCs w:val="20"/>
      <w:lang w:val="en-US"/>
    </w:rPr>
  </w:style>
  <w:style w:type="character" w:customStyle="1" w:styleId="Heading6Char">
    <w:name w:val="Heading 6 Char"/>
    <w:basedOn w:val="DefaultParagraphFont"/>
    <w:link w:val="Heading6"/>
    <w:uiPriority w:val="9"/>
    <w:semiHidden/>
    <w:rsid w:val="00A4591F"/>
    <w:rPr>
      <w:rFonts w:asciiTheme="majorHAnsi" w:eastAsiaTheme="majorEastAsia" w:hAnsiTheme="majorHAnsi" w:cstheme="majorBidi"/>
      <w:i/>
      <w:iCs/>
      <w:color w:val="1F4D78" w:themeColor="accent1" w:themeShade="7F"/>
      <w:szCs w:val="20"/>
      <w:lang w:val="en-US"/>
    </w:rPr>
  </w:style>
  <w:style w:type="character" w:customStyle="1" w:styleId="Heading7Char">
    <w:name w:val="Heading 7 Char"/>
    <w:basedOn w:val="DefaultParagraphFont"/>
    <w:link w:val="Heading7"/>
    <w:uiPriority w:val="9"/>
    <w:semiHidden/>
    <w:rsid w:val="00A4591F"/>
    <w:rPr>
      <w:rFonts w:asciiTheme="majorHAnsi" w:eastAsiaTheme="majorEastAsia" w:hAnsiTheme="majorHAnsi" w:cstheme="majorBidi"/>
      <w:i/>
      <w:iCs/>
      <w:color w:val="404040" w:themeColor="text1" w:themeTint="BF"/>
      <w:szCs w:val="20"/>
      <w:lang w:val="en-US"/>
    </w:rPr>
  </w:style>
  <w:style w:type="character" w:customStyle="1" w:styleId="Heading8Char">
    <w:name w:val="Heading 8 Char"/>
    <w:basedOn w:val="DefaultParagraphFont"/>
    <w:link w:val="Heading8"/>
    <w:uiPriority w:val="9"/>
    <w:semiHidden/>
    <w:rsid w:val="00A4591F"/>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A4591F"/>
    <w:rPr>
      <w:rFonts w:asciiTheme="majorHAnsi" w:eastAsiaTheme="majorEastAsia" w:hAnsiTheme="majorHAnsi" w:cstheme="majorBidi"/>
      <w:i/>
      <w:iCs/>
      <w:color w:val="404040" w:themeColor="text1" w:themeTint="BF"/>
      <w:sz w:val="20"/>
      <w:szCs w:val="20"/>
      <w:lang w:val="en-US"/>
    </w:rPr>
  </w:style>
  <w:style w:type="character" w:styleId="CommentReference">
    <w:name w:val="annotation reference"/>
    <w:basedOn w:val="DefaultParagraphFont"/>
    <w:uiPriority w:val="99"/>
    <w:semiHidden/>
    <w:unhideWhenUsed/>
    <w:rsid w:val="00A4591F"/>
    <w:rPr>
      <w:sz w:val="16"/>
      <w:szCs w:val="16"/>
    </w:rPr>
  </w:style>
  <w:style w:type="paragraph" w:styleId="CommentText">
    <w:name w:val="annotation text"/>
    <w:basedOn w:val="Normal"/>
    <w:link w:val="CommentTextChar"/>
    <w:uiPriority w:val="99"/>
    <w:semiHidden/>
    <w:unhideWhenUsed/>
    <w:rsid w:val="00A4591F"/>
    <w:pPr>
      <w:spacing w:after="200"/>
      <w:ind w:left="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A4591F"/>
    <w:rPr>
      <w:sz w:val="20"/>
      <w:szCs w:val="20"/>
    </w:rPr>
  </w:style>
  <w:style w:type="paragraph" w:customStyle="1" w:styleId="Default">
    <w:name w:val="Default"/>
    <w:rsid w:val="00A4591F"/>
    <w:pPr>
      <w:autoSpaceDE w:val="0"/>
      <w:autoSpaceDN w:val="0"/>
      <w:adjustRightInd w:val="0"/>
      <w:spacing w:after="0" w:line="240" w:lineRule="auto"/>
    </w:pPr>
    <w:rPr>
      <w:rFonts w:ascii="Arial" w:eastAsiaTheme="minorEastAsia" w:hAnsi="Arial" w:cs="Arial"/>
      <w:color w:val="000000"/>
      <w:sz w:val="24"/>
      <w:szCs w:val="24"/>
      <w:lang w:eastAsia="zh-TW"/>
    </w:rPr>
  </w:style>
  <w:style w:type="paragraph" w:styleId="EndnoteText">
    <w:name w:val="endnote text"/>
    <w:basedOn w:val="Normal"/>
    <w:link w:val="EndnoteTextChar"/>
    <w:uiPriority w:val="99"/>
    <w:unhideWhenUsed/>
    <w:rsid w:val="007D16BB"/>
    <w:pPr>
      <w:ind w:left="0"/>
    </w:pPr>
    <w:rPr>
      <w:rFonts w:asciiTheme="minorHAnsi" w:eastAsiaTheme="minorHAnsi" w:hAnsiTheme="minorHAnsi" w:cstheme="minorBidi"/>
      <w:sz w:val="20"/>
      <w:lang w:val="en-GB"/>
    </w:rPr>
  </w:style>
  <w:style w:type="character" w:customStyle="1" w:styleId="EndnoteTextChar">
    <w:name w:val="Endnote Text Char"/>
    <w:basedOn w:val="DefaultParagraphFont"/>
    <w:link w:val="EndnoteText"/>
    <w:uiPriority w:val="99"/>
    <w:rsid w:val="007D16BB"/>
    <w:rPr>
      <w:sz w:val="20"/>
      <w:szCs w:val="20"/>
    </w:rPr>
  </w:style>
  <w:style w:type="character" w:styleId="EndnoteReference">
    <w:name w:val="endnote reference"/>
    <w:basedOn w:val="DefaultParagraphFont"/>
    <w:uiPriority w:val="99"/>
    <w:semiHidden/>
    <w:unhideWhenUsed/>
    <w:rsid w:val="007D16BB"/>
    <w:rPr>
      <w:vertAlign w:val="superscript"/>
    </w:rPr>
  </w:style>
  <w:style w:type="paragraph" w:customStyle="1" w:styleId="H3">
    <w:name w:val="H3"/>
    <w:basedOn w:val="Heading2"/>
    <w:link w:val="H3Char"/>
    <w:qFormat/>
    <w:rsid w:val="002B0348"/>
    <w:pPr>
      <w:keepLines w:val="0"/>
      <w:widowControl w:val="0"/>
      <w:numPr>
        <w:ilvl w:val="0"/>
        <w:numId w:val="0"/>
      </w:numPr>
      <w:tabs>
        <w:tab w:val="num" w:pos="284"/>
      </w:tabs>
      <w:adjustRightInd w:val="0"/>
      <w:spacing w:before="240" w:after="60" w:line="360" w:lineRule="atLeast"/>
      <w:ind w:left="851" w:hanging="851"/>
      <w:jc w:val="both"/>
      <w:textAlignment w:val="baseline"/>
    </w:pPr>
    <w:rPr>
      <w:rFonts w:ascii="Segoe UI" w:eastAsia="Times New Roman" w:hAnsi="Segoe UI" w:cs="Segoe UI"/>
      <w:b w:val="0"/>
      <w:bCs w:val="0"/>
      <w:iCs/>
      <w:color w:val="1F497D"/>
      <w:sz w:val="22"/>
      <w:szCs w:val="22"/>
      <w:lang w:val="en-GB"/>
    </w:rPr>
  </w:style>
  <w:style w:type="paragraph" w:customStyle="1" w:styleId="CM1">
    <w:name w:val="CM1"/>
    <w:basedOn w:val="Default"/>
    <w:next w:val="Default"/>
    <w:uiPriority w:val="99"/>
    <w:rsid w:val="002B0348"/>
    <w:rPr>
      <w:rFonts w:ascii="EUAlbertina" w:eastAsia="Times New Roman" w:hAnsi="EUAlbertina" w:cs="Times New Roman"/>
      <w:color w:val="auto"/>
      <w:lang w:eastAsia="en-GB"/>
    </w:rPr>
  </w:style>
  <w:style w:type="character" w:customStyle="1" w:styleId="H3Char">
    <w:name w:val="H3 Char"/>
    <w:basedOn w:val="DefaultParagraphFont"/>
    <w:link w:val="H3"/>
    <w:rsid w:val="002B0348"/>
    <w:rPr>
      <w:rFonts w:ascii="Segoe UI" w:eastAsia="Times New Roman" w:hAnsi="Segoe UI" w:cs="Segoe UI"/>
      <w:b/>
      <w:bCs/>
      <w:iCs/>
      <w:color w:val="1F497D"/>
    </w:rPr>
  </w:style>
  <w:style w:type="paragraph" w:customStyle="1" w:styleId="CM3">
    <w:name w:val="CM3"/>
    <w:basedOn w:val="Default"/>
    <w:next w:val="Default"/>
    <w:uiPriority w:val="99"/>
    <w:rsid w:val="002B0348"/>
    <w:rPr>
      <w:rFonts w:ascii="EUAlbertina" w:eastAsia="Times New Roman" w:hAnsi="EUAlbertina" w:cs="Times New Roman"/>
      <w:color w:val="auto"/>
      <w:lang w:eastAsia="en-GB"/>
    </w:rPr>
  </w:style>
  <w:style w:type="paragraph" w:customStyle="1" w:styleId="CM4">
    <w:name w:val="CM4"/>
    <w:basedOn w:val="Default"/>
    <w:next w:val="Default"/>
    <w:uiPriority w:val="99"/>
    <w:rsid w:val="002B0348"/>
    <w:rPr>
      <w:rFonts w:ascii="EUAlbertina" w:eastAsia="Times New Roman" w:hAnsi="EUAlbertina" w:cs="Times New Roman"/>
      <w:color w:val="auto"/>
      <w:lang w:eastAsia="en-GB"/>
    </w:rPr>
  </w:style>
  <w:style w:type="paragraph" w:styleId="DocumentMap">
    <w:name w:val="Document Map"/>
    <w:basedOn w:val="Normal"/>
    <w:link w:val="DocumentMapChar"/>
    <w:uiPriority w:val="99"/>
    <w:semiHidden/>
    <w:unhideWhenUsed/>
    <w:rsid w:val="00CC523E"/>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C523E"/>
    <w:rPr>
      <w:rFonts w:ascii="Lucida Grande" w:eastAsia="Times New Roman" w:hAnsi="Lucida Grande" w:cs="Lucida Grande"/>
      <w:sz w:val="24"/>
      <w:szCs w:val="24"/>
      <w:lang w:val="en-US"/>
    </w:rPr>
  </w:style>
  <w:style w:type="character" w:customStyle="1" w:styleId="st1">
    <w:name w:val="st1"/>
    <w:basedOn w:val="DefaultParagraphFont"/>
    <w:rsid w:val="00CD78E9"/>
    <w:rPr>
      <w:rFonts w:ascii="Times New Roman" w:hAnsi="Times New Roman" w:cs="Times New Roman" w:hint="default"/>
    </w:rPr>
  </w:style>
  <w:style w:type="paragraph" w:styleId="TOC3">
    <w:name w:val="toc 3"/>
    <w:basedOn w:val="Normal"/>
    <w:next w:val="Normal"/>
    <w:autoRedefine/>
    <w:uiPriority w:val="39"/>
    <w:unhideWhenUsed/>
    <w:rsid w:val="00F4412D"/>
    <w:pPr>
      <w:ind w:left="440"/>
    </w:pPr>
  </w:style>
  <w:style w:type="paragraph" w:styleId="TOC4">
    <w:name w:val="toc 4"/>
    <w:basedOn w:val="Normal"/>
    <w:next w:val="Normal"/>
    <w:autoRedefine/>
    <w:uiPriority w:val="39"/>
    <w:unhideWhenUsed/>
    <w:rsid w:val="00F4412D"/>
    <w:pPr>
      <w:ind w:left="660"/>
    </w:pPr>
  </w:style>
  <w:style w:type="paragraph" w:styleId="TOC5">
    <w:name w:val="toc 5"/>
    <w:basedOn w:val="Normal"/>
    <w:next w:val="Normal"/>
    <w:autoRedefine/>
    <w:uiPriority w:val="39"/>
    <w:unhideWhenUsed/>
    <w:rsid w:val="00F4412D"/>
    <w:pPr>
      <w:ind w:left="880"/>
    </w:pPr>
  </w:style>
  <w:style w:type="paragraph" w:styleId="TOC6">
    <w:name w:val="toc 6"/>
    <w:basedOn w:val="Normal"/>
    <w:next w:val="Normal"/>
    <w:autoRedefine/>
    <w:uiPriority w:val="39"/>
    <w:unhideWhenUsed/>
    <w:rsid w:val="00F4412D"/>
    <w:pPr>
      <w:ind w:left="1100"/>
    </w:pPr>
  </w:style>
  <w:style w:type="paragraph" w:styleId="TOC7">
    <w:name w:val="toc 7"/>
    <w:basedOn w:val="Normal"/>
    <w:next w:val="Normal"/>
    <w:autoRedefine/>
    <w:uiPriority w:val="39"/>
    <w:unhideWhenUsed/>
    <w:rsid w:val="00F4412D"/>
    <w:pPr>
      <w:ind w:left="1320"/>
    </w:pPr>
  </w:style>
  <w:style w:type="paragraph" w:styleId="TOC8">
    <w:name w:val="toc 8"/>
    <w:basedOn w:val="Normal"/>
    <w:next w:val="Normal"/>
    <w:autoRedefine/>
    <w:uiPriority w:val="39"/>
    <w:unhideWhenUsed/>
    <w:rsid w:val="00F4412D"/>
    <w:pPr>
      <w:ind w:left="1540"/>
    </w:pPr>
  </w:style>
  <w:style w:type="paragraph" w:styleId="TOC9">
    <w:name w:val="toc 9"/>
    <w:basedOn w:val="Normal"/>
    <w:next w:val="Normal"/>
    <w:autoRedefine/>
    <w:uiPriority w:val="39"/>
    <w:unhideWhenUsed/>
    <w:rsid w:val="00F4412D"/>
    <w:pPr>
      <w:ind w:left="1760"/>
    </w:pPr>
  </w:style>
  <w:style w:type="paragraph" w:styleId="NormalWeb">
    <w:name w:val="Normal (Web)"/>
    <w:basedOn w:val="Normal"/>
    <w:uiPriority w:val="99"/>
    <w:unhideWhenUsed/>
    <w:rsid w:val="00FC7561"/>
    <w:pPr>
      <w:spacing w:before="100" w:beforeAutospacing="1" w:after="100" w:afterAutospacing="1"/>
      <w:ind w:left="0"/>
    </w:pPr>
    <w:rPr>
      <w:rFonts w:ascii="Times" w:eastAsiaTheme="minorHAnsi" w:hAnsi="Times"/>
      <w:sz w:val="20"/>
      <w:lang w:val="en-GB"/>
    </w:rPr>
  </w:style>
  <w:style w:type="paragraph" w:styleId="CommentSubject">
    <w:name w:val="annotation subject"/>
    <w:basedOn w:val="CommentText"/>
    <w:next w:val="CommentText"/>
    <w:link w:val="CommentSubjectChar"/>
    <w:uiPriority w:val="99"/>
    <w:semiHidden/>
    <w:unhideWhenUsed/>
    <w:rsid w:val="00657B38"/>
    <w:pPr>
      <w:spacing w:after="0"/>
      <w:ind w:left="720"/>
    </w:pPr>
    <w:rPr>
      <w:rFonts w:ascii="Arial" w:eastAsia="Times New Roman" w:hAnsi="Arial" w:cs="Times New Roman"/>
      <w:b/>
      <w:bCs/>
      <w:lang w:val="en-US"/>
    </w:rPr>
  </w:style>
  <w:style w:type="character" w:customStyle="1" w:styleId="CommentSubjectChar">
    <w:name w:val="Comment Subject Char"/>
    <w:basedOn w:val="CommentTextChar"/>
    <w:link w:val="CommentSubject"/>
    <w:uiPriority w:val="99"/>
    <w:semiHidden/>
    <w:rsid w:val="00657B38"/>
    <w:rPr>
      <w:rFonts w:ascii="Arial" w:eastAsia="Times New Roman" w:hAnsi="Arial" w:cs="Times New Roman"/>
      <w:b/>
      <w:bCs/>
      <w:sz w:val="20"/>
      <w:szCs w:val="20"/>
      <w:lang w:val="en-US"/>
    </w:rPr>
  </w:style>
  <w:style w:type="character" w:styleId="FollowedHyperlink">
    <w:name w:val="FollowedHyperlink"/>
    <w:basedOn w:val="DefaultParagraphFont"/>
    <w:uiPriority w:val="99"/>
    <w:semiHidden/>
    <w:unhideWhenUsed/>
    <w:rsid w:val="005803AC"/>
    <w:rPr>
      <w:color w:val="954F72" w:themeColor="followedHyperlink"/>
      <w:u w:val="single"/>
    </w:rPr>
  </w:style>
  <w:style w:type="paragraph" w:styleId="Revision">
    <w:name w:val="Revision"/>
    <w:hidden/>
    <w:uiPriority w:val="99"/>
    <w:semiHidden/>
    <w:rsid w:val="007A174A"/>
    <w:pPr>
      <w:spacing w:after="0" w:line="240" w:lineRule="auto"/>
    </w:pPr>
    <w:rPr>
      <w:rFonts w:ascii="Arial" w:eastAsia="Times New Roman" w:hAnsi="Arial" w:cs="Times New Roman"/>
      <w:szCs w:val="20"/>
      <w:lang w:val="en-US"/>
    </w:rPr>
  </w:style>
  <w:style w:type="character" w:styleId="PageNumber">
    <w:name w:val="page number"/>
    <w:basedOn w:val="DefaultParagraphFont"/>
    <w:uiPriority w:val="99"/>
    <w:semiHidden/>
    <w:unhideWhenUsed/>
    <w:rsid w:val="005D3C44"/>
  </w:style>
  <w:style w:type="character" w:customStyle="1" w:styleId="UnresolvedMention">
    <w:name w:val="Unresolved Mention"/>
    <w:basedOn w:val="DefaultParagraphFont"/>
    <w:uiPriority w:val="99"/>
    <w:semiHidden/>
    <w:unhideWhenUsed/>
    <w:rsid w:val="00635D09"/>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9A5"/>
    <w:pPr>
      <w:spacing w:after="0" w:line="240" w:lineRule="auto"/>
      <w:ind w:left="720"/>
    </w:pPr>
    <w:rPr>
      <w:rFonts w:ascii="Arial" w:eastAsia="Times New Roman" w:hAnsi="Arial" w:cs="Times New Roman"/>
      <w:szCs w:val="20"/>
      <w:lang w:val="en-US"/>
    </w:rPr>
  </w:style>
  <w:style w:type="paragraph" w:styleId="Heading1">
    <w:name w:val="heading 1"/>
    <w:basedOn w:val="Normal"/>
    <w:next w:val="Normal"/>
    <w:link w:val="Heading1Char"/>
    <w:uiPriority w:val="9"/>
    <w:qFormat/>
    <w:rsid w:val="00AB78EA"/>
    <w:pPr>
      <w:keepNext/>
      <w:keepLines/>
      <w:numPr>
        <w:numId w:val="33"/>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Topic Heading,PI Heading 2"/>
    <w:basedOn w:val="Normal"/>
    <w:next w:val="Normal"/>
    <w:link w:val="Heading2Char"/>
    <w:unhideWhenUsed/>
    <w:qFormat/>
    <w:rsid w:val="00E51D7D"/>
    <w:pPr>
      <w:keepNext/>
      <w:keepLines/>
      <w:numPr>
        <w:ilvl w:val="1"/>
        <w:numId w:val="33"/>
      </w:numPr>
      <w:spacing w:before="40"/>
      <w:outlineLvl w:val="1"/>
    </w:pPr>
    <w:rPr>
      <w:rFonts w:ascii="Calibri" w:eastAsiaTheme="majorEastAsia" w:hAnsi="Calibri" w:cstheme="majorBidi"/>
      <w:b/>
      <w:bCs/>
      <w:sz w:val="24"/>
      <w:szCs w:val="24"/>
    </w:rPr>
  </w:style>
  <w:style w:type="paragraph" w:styleId="Heading3">
    <w:name w:val="heading 3"/>
    <w:basedOn w:val="Normal"/>
    <w:next w:val="Normal"/>
    <w:link w:val="Heading3Char"/>
    <w:uiPriority w:val="9"/>
    <w:unhideWhenUsed/>
    <w:qFormat/>
    <w:rsid w:val="00CC523E"/>
    <w:pPr>
      <w:keepNext/>
      <w:keepLines/>
      <w:numPr>
        <w:ilvl w:val="2"/>
        <w:numId w:val="33"/>
      </w:numPr>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4591F"/>
    <w:pPr>
      <w:keepNext/>
      <w:keepLines/>
      <w:numPr>
        <w:ilvl w:val="3"/>
        <w:numId w:val="33"/>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4591F"/>
    <w:pPr>
      <w:keepNext/>
      <w:keepLines/>
      <w:numPr>
        <w:ilvl w:val="4"/>
        <w:numId w:val="33"/>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4591F"/>
    <w:pPr>
      <w:keepNext/>
      <w:keepLines/>
      <w:numPr>
        <w:ilvl w:val="5"/>
        <w:numId w:val="33"/>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4591F"/>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4591F"/>
    <w:pPr>
      <w:keepNext/>
      <w:keepLines/>
      <w:numPr>
        <w:ilvl w:val="7"/>
        <w:numId w:val="33"/>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4591F"/>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8EA"/>
    <w:pPr>
      <w:tabs>
        <w:tab w:val="center" w:pos="4513"/>
        <w:tab w:val="right" w:pos="9026"/>
      </w:tabs>
    </w:pPr>
  </w:style>
  <w:style w:type="character" w:customStyle="1" w:styleId="HeaderChar">
    <w:name w:val="Header Char"/>
    <w:basedOn w:val="DefaultParagraphFont"/>
    <w:link w:val="Header"/>
    <w:uiPriority w:val="99"/>
    <w:rsid w:val="00AB78EA"/>
    <w:rPr>
      <w:rFonts w:ascii="Arial" w:eastAsia="Times New Roman" w:hAnsi="Arial" w:cs="Times New Roman"/>
      <w:szCs w:val="20"/>
      <w:lang w:val="en-US"/>
    </w:rPr>
  </w:style>
  <w:style w:type="paragraph" w:styleId="Footer">
    <w:name w:val="footer"/>
    <w:basedOn w:val="Normal"/>
    <w:link w:val="FooterChar"/>
    <w:uiPriority w:val="99"/>
    <w:unhideWhenUsed/>
    <w:rsid w:val="00AB78EA"/>
    <w:pPr>
      <w:tabs>
        <w:tab w:val="center" w:pos="4513"/>
        <w:tab w:val="right" w:pos="9026"/>
      </w:tabs>
    </w:pPr>
  </w:style>
  <w:style w:type="character" w:customStyle="1" w:styleId="FooterChar">
    <w:name w:val="Footer Char"/>
    <w:basedOn w:val="DefaultParagraphFont"/>
    <w:link w:val="Footer"/>
    <w:uiPriority w:val="99"/>
    <w:rsid w:val="00AB78EA"/>
    <w:rPr>
      <w:rFonts w:ascii="Arial" w:eastAsia="Times New Roman" w:hAnsi="Arial" w:cs="Times New Roman"/>
      <w:szCs w:val="20"/>
      <w:lang w:val="en-US"/>
    </w:rPr>
  </w:style>
  <w:style w:type="character" w:customStyle="1" w:styleId="Heading1Char">
    <w:name w:val="Heading 1 Char"/>
    <w:basedOn w:val="DefaultParagraphFont"/>
    <w:link w:val="Heading1"/>
    <w:uiPriority w:val="9"/>
    <w:rsid w:val="00AB78EA"/>
    <w:rPr>
      <w:rFonts w:asciiTheme="majorHAnsi" w:eastAsiaTheme="majorEastAsia" w:hAnsiTheme="majorHAnsi" w:cstheme="majorBidi"/>
      <w:color w:val="2E74B5" w:themeColor="accent1" w:themeShade="BF"/>
      <w:sz w:val="32"/>
      <w:szCs w:val="32"/>
      <w:lang w:val="en-US"/>
    </w:rPr>
  </w:style>
  <w:style w:type="paragraph" w:styleId="ListParagraph">
    <w:name w:val="List Paragraph"/>
    <w:basedOn w:val="Normal"/>
    <w:link w:val="ListParagraphChar"/>
    <w:uiPriority w:val="34"/>
    <w:qFormat/>
    <w:rsid w:val="00AB78EA"/>
    <w:pPr>
      <w:contextualSpacing/>
    </w:pPr>
  </w:style>
  <w:style w:type="paragraph" w:styleId="TOCHeading">
    <w:name w:val="TOC Heading"/>
    <w:basedOn w:val="Heading1"/>
    <w:next w:val="Normal"/>
    <w:uiPriority w:val="39"/>
    <w:unhideWhenUsed/>
    <w:qFormat/>
    <w:rsid w:val="00AB78EA"/>
    <w:pPr>
      <w:spacing w:line="259" w:lineRule="auto"/>
      <w:ind w:left="0"/>
      <w:outlineLvl w:val="9"/>
    </w:pPr>
  </w:style>
  <w:style w:type="paragraph" w:styleId="TOC1">
    <w:name w:val="toc 1"/>
    <w:basedOn w:val="Normal"/>
    <w:next w:val="Normal"/>
    <w:autoRedefine/>
    <w:uiPriority w:val="39"/>
    <w:unhideWhenUsed/>
    <w:rsid w:val="005B7173"/>
    <w:pPr>
      <w:tabs>
        <w:tab w:val="left" w:pos="440"/>
        <w:tab w:val="right" w:leader="dot" w:pos="9016"/>
      </w:tabs>
      <w:spacing w:after="100"/>
      <w:ind w:left="0"/>
    </w:pPr>
    <w:rPr>
      <w:rFonts w:asciiTheme="minorHAnsi" w:hAnsiTheme="minorHAnsi"/>
      <w:b/>
      <w:szCs w:val="22"/>
    </w:rPr>
  </w:style>
  <w:style w:type="character" w:styleId="Hyperlink">
    <w:name w:val="Hyperlink"/>
    <w:basedOn w:val="DefaultParagraphFont"/>
    <w:uiPriority w:val="99"/>
    <w:unhideWhenUsed/>
    <w:rsid w:val="00AB78EA"/>
    <w:rPr>
      <w:color w:val="0563C1" w:themeColor="hyperlink"/>
      <w:u w:val="single"/>
    </w:rPr>
  </w:style>
  <w:style w:type="paragraph" w:styleId="FootnoteText">
    <w:name w:val="footnote text"/>
    <w:basedOn w:val="Normal"/>
    <w:link w:val="FootnoteTextChar"/>
    <w:uiPriority w:val="99"/>
    <w:unhideWhenUsed/>
    <w:rsid w:val="00AB78EA"/>
    <w:rPr>
      <w:sz w:val="20"/>
    </w:rPr>
  </w:style>
  <w:style w:type="character" w:customStyle="1" w:styleId="FootnoteTextChar">
    <w:name w:val="Footnote Text Char"/>
    <w:basedOn w:val="DefaultParagraphFont"/>
    <w:link w:val="FootnoteText"/>
    <w:uiPriority w:val="99"/>
    <w:rsid w:val="00AB78EA"/>
    <w:rPr>
      <w:rFonts w:ascii="Arial" w:eastAsia="Times New Roman" w:hAnsi="Arial" w:cs="Times New Roman"/>
      <w:sz w:val="20"/>
      <w:szCs w:val="20"/>
      <w:lang w:val="en-US"/>
    </w:rPr>
  </w:style>
  <w:style w:type="character" w:styleId="FootnoteReference">
    <w:name w:val="footnote reference"/>
    <w:basedOn w:val="DefaultParagraphFont"/>
    <w:uiPriority w:val="99"/>
    <w:unhideWhenUsed/>
    <w:rsid w:val="00AB78EA"/>
    <w:rPr>
      <w:vertAlign w:val="superscript"/>
    </w:rPr>
  </w:style>
  <w:style w:type="character" w:customStyle="1" w:styleId="Heading2Char">
    <w:name w:val="Heading 2 Char"/>
    <w:aliases w:val="H2 Char,Topic Heading Char,PI Heading 2 Char"/>
    <w:basedOn w:val="DefaultParagraphFont"/>
    <w:link w:val="Heading2"/>
    <w:rsid w:val="00E51D7D"/>
    <w:rPr>
      <w:rFonts w:ascii="Calibri" w:eastAsiaTheme="majorEastAsia" w:hAnsi="Calibri" w:cstheme="majorBidi"/>
      <w:b/>
      <w:bCs/>
      <w:sz w:val="24"/>
      <w:szCs w:val="24"/>
      <w:lang w:val="en-US"/>
    </w:rPr>
  </w:style>
  <w:style w:type="paragraph" w:styleId="TOC2">
    <w:name w:val="toc 2"/>
    <w:basedOn w:val="Normal"/>
    <w:next w:val="Normal"/>
    <w:autoRedefine/>
    <w:uiPriority w:val="39"/>
    <w:unhideWhenUsed/>
    <w:rsid w:val="00EF2D36"/>
    <w:pPr>
      <w:spacing w:after="100"/>
      <w:ind w:left="220"/>
    </w:pPr>
  </w:style>
  <w:style w:type="paragraph" w:styleId="BalloonText">
    <w:name w:val="Balloon Text"/>
    <w:basedOn w:val="Normal"/>
    <w:link w:val="BalloonTextChar"/>
    <w:uiPriority w:val="99"/>
    <w:semiHidden/>
    <w:unhideWhenUsed/>
    <w:rsid w:val="006468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86F"/>
    <w:rPr>
      <w:rFonts w:ascii="Segoe UI" w:eastAsia="Times New Roman" w:hAnsi="Segoe UI" w:cs="Segoe UI"/>
      <w:sz w:val="18"/>
      <w:szCs w:val="18"/>
      <w:lang w:val="en-US"/>
    </w:rPr>
  </w:style>
  <w:style w:type="paragraph" w:styleId="NoSpacing">
    <w:name w:val="No Spacing"/>
    <w:uiPriority w:val="1"/>
    <w:qFormat/>
    <w:rsid w:val="002B4C74"/>
    <w:pPr>
      <w:spacing w:after="0" w:line="240" w:lineRule="auto"/>
    </w:pPr>
    <w:rPr>
      <w:rFonts w:ascii="Arial" w:eastAsia="Cambria" w:hAnsi="Arial" w:cs="Times New Roman"/>
      <w:color w:val="58595B"/>
      <w:sz w:val="20"/>
      <w:szCs w:val="24"/>
      <w:lang w:val="en-US"/>
    </w:rPr>
  </w:style>
  <w:style w:type="character" w:customStyle="1" w:styleId="ListParagraphChar">
    <w:name w:val="List Paragraph Char"/>
    <w:basedOn w:val="DefaultParagraphFont"/>
    <w:link w:val="ListParagraph"/>
    <w:uiPriority w:val="34"/>
    <w:locked/>
    <w:rsid w:val="002B4C74"/>
    <w:rPr>
      <w:rFonts w:ascii="Arial" w:eastAsia="Times New Roman" w:hAnsi="Arial" w:cs="Times New Roman"/>
      <w:szCs w:val="20"/>
      <w:lang w:val="en-US"/>
    </w:rPr>
  </w:style>
  <w:style w:type="table" w:styleId="TableGrid">
    <w:name w:val="Table Grid"/>
    <w:basedOn w:val="TableNormal"/>
    <w:uiPriority w:val="59"/>
    <w:rsid w:val="00333384"/>
    <w:pPr>
      <w:spacing w:after="0" w:line="240" w:lineRule="auto"/>
    </w:pPr>
    <w:rPr>
      <w:rFonts w:ascii="Times New Roman" w:eastAsia="SimSu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9D0FC6"/>
    <w:pPr>
      <w:spacing w:after="0" w:line="240" w:lineRule="auto"/>
    </w:pPr>
    <w:rPr>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List1-Accent1">
    <w:name w:val="Medium List 1 Accent 1"/>
    <w:basedOn w:val="TableNormal"/>
    <w:uiPriority w:val="65"/>
    <w:rsid w:val="00306BF1"/>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character" w:customStyle="1" w:styleId="Heading3Char">
    <w:name w:val="Heading 3 Char"/>
    <w:basedOn w:val="DefaultParagraphFont"/>
    <w:link w:val="Heading3"/>
    <w:uiPriority w:val="9"/>
    <w:rsid w:val="00CC523E"/>
    <w:rPr>
      <w:rFonts w:asciiTheme="majorHAnsi" w:eastAsiaTheme="majorEastAsia" w:hAnsiTheme="majorHAnsi" w:cstheme="majorBidi"/>
      <w:b/>
      <w:bCs/>
      <w:color w:val="5B9BD5" w:themeColor="accent1"/>
      <w:szCs w:val="20"/>
      <w:lang w:val="en-US"/>
    </w:rPr>
  </w:style>
  <w:style w:type="character" w:customStyle="1" w:styleId="Heading4Char">
    <w:name w:val="Heading 4 Char"/>
    <w:basedOn w:val="DefaultParagraphFont"/>
    <w:link w:val="Heading4"/>
    <w:uiPriority w:val="9"/>
    <w:rsid w:val="00A4591F"/>
    <w:rPr>
      <w:rFonts w:asciiTheme="majorHAnsi" w:eastAsiaTheme="majorEastAsia" w:hAnsiTheme="majorHAnsi" w:cstheme="majorBidi"/>
      <w:b/>
      <w:bCs/>
      <w:i/>
      <w:iCs/>
      <w:color w:val="5B9BD5" w:themeColor="accent1"/>
      <w:szCs w:val="20"/>
      <w:lang w:val="en-US"/>
    </w:rPr>
  </w:style>
  <w:style w:type="character" w:customStyle="1" w:styleId="Heading5Char">
    <w:name w:val="Heading 5 Char"/>
    <w:basedOn w:val="DefaultParagraphFont"/>
    <w:link w:val="Heading5"/>
    <w:uiPriority w:val="9"/>
    <w:semiHidden/>
    <w:rsid w:val="00A4591F"/>
    <w:rPr>
      <w:rFonts w:asciiTheme="majorHAnsi" w:eastAsiaTheme="majorEastAsia" w:hAnsiTheme="majorHAnsi" w:cstheme="majorBidi"/>
      <w:color w:val="1F4D78" w:themeColor="accent1" w:themeShade="7F"/>
      <w:szCs w:val="20"/>
      <w:lang w:val="en-US"/>
    </w:rPr>
  </w:style>
  <w:style w:type="character" w:customStyle="1" w:styleId="Heading6Char">
    <w:name w:val="Heading 6 Char"/>
    <w:basedOn w:val="DefaultParagraphFont"/>
    <w:link w:val="Heading6"/>
    <w:uiPriority w:val="9"/>
    <w:semiHidden/>
    <w:rsid w:val="00A4591F"/>
    <w:rPr>
      <w:rFonts w:asciiTheme="majorHAnsi" w:eastAsiaTheme="majorEastAsia" w:hAnsiTheme="majorHAnsi" w:cstheme="majorBidi"/>
      <w:i/>
      <w:iCs/>
      <w:color w:val="1F4D78" w:themeColor="accent1" w:themeShade="7F"/>
      <w:szCs w:val="20"/>
      <w:lang w:val="en-US"/>
    </w:rPr>
  </w:style>
  <w:style w:type="character" w:customStyle="1" w:styleId="Heading7Char">
    <w:name w:val="Heading 7 Char"/>
    <w:basedOn w:val="DefaultParagraphFont"/>
    <w:link w:val="Heading7"/>
    <w:uiPriority w:val="9"/>
    <w:semiHidden/>
    <w:rsid w:val="00A4591F"/>
    <w:rPr>
      <w:rFonts w:asciiTheme="majorHAnsi" w:eastAsiaTheme="majorEastAsia" w:hAnsiTheme="majorHAnsi" w:cstheme="majorBidi"/>
      <w:i/>
      <w:iCs/>
      <w:color w:val="404040" w:themeColor="text1" w:themeTint="BF"/>
      <w:szCs w:val="20"/>
      <w:lang w:val="en-US"/>
    </w:rPr>
  </w:style>
  <w:style w:type="character" w:customStyle="1" w:styleId="Heading8Char">
    <w:name w:val="Heading 8 Char"/>
    <w:basedOn w:val="DefaultParagraphFont"/>
    <w:link w:val="Heading8"/>
    <w:uiPriority w:val="9"/>
    <w:semiHidden/>
    <w:rsid w:val="00A4591F"/>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A4591F"/>
    <w:rPr>
      <w:rFonts w:asciiTheme="majorHAnsi" w:eastAsiaTheme="majorEastAsia" w:hAnsiTheme="majorHAnsi" w:cstheme="majorBidi"/>
      <w:i/>
      <w:iCs/>
      <w:color w:val="404040" w:themeColor="text1" w:themeTint="BF"/>
      <w:sz w:val="20"/>
      <w:szCs w:val="20"/>
      <w:lang w:val="en-US"/>
    </w:rPr>
  </w:style>
  <w:style w:type="character" w:styleId="CommentReference">
    <w:name w:val="annotation reference"/>
    <w:basedOn w:val="DefaultParagraphFont"/>
    <w:uiPriority w:val="99"/>
    <w:semiHidden/>
    <w:unhideWhenUsed/>
    <w:rsid w:val="00A4591F"/>
    <w:rPr>
      <w:sz w:val="16"/>
      <w:szCs w:val="16"/>
    </w:rPr>
  </w:style>
  <w:style w:type="paragraph" w:styleId="CommentText">
    <w:name w:val="annotation text"/>
    <w:basedOn w:val="Normal"/>
    <w:link w:val="CommentTextChar"/>
    <w:uiPriority w:val="99"/>
    <w:semiHidden/>
    <w:unhideWhenUsed/>
    <w:rsid w:val="00A4591F"/>
    <w:pPr>
      <w:spacing w:after="200"/>
      <w:ind w:left="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A4591F"/>
    <w:rPr>
      <w:sz w:val="20"/>
      <w:szCs w:val="20"/>
    </w:rPr>
  </w:style>
  <w:style w:type="paragraph" w:customStyle="1" w:styleId="Default">
    <w:name w:val="Default"/>
    <w:rsid w:val="00A4591F"/>
    <w:pPr>
      <w:autoSpaceDE w:val="0"/>
      <w:autoSpaceDN w:val="0"/>
      <w:adjustRightInd w:val="0"/>
      <w:spacing w:after="0" w:line="240" w:lineRule="auto"/>
    </w:pPr>
    <w:rPr>
      <w:rFonts w:ascii="Arial" w:eastAsiaTheme="minorEastAsia" w:hAnsi="Arial" w:cs="Arial"/>
      <w:color w:val="000000"/>
      <w:sz w:val="24"/>
      <w:szCs w:val="24"/>
      <w:lang w:eastAsia="zh-TW"/>
    </w:rPr>
  </w:style>
  <w:style w:type="paragraph" w:styleId="EndnoteText">
    <w:name w:val="endnote text"/>
    <w:basedOn w:val="Normal"/>
    <w:link w:val="EndnoteTextChar"/>
    <w:uiPriority w:val="99"/>
    <w:unhideWhenUsed/>
    <w:rsid w:val="007D16BB"/>
    <w:pPr>
      <w:ind w:left="0"/>
    </w:pPr>
    <w:rPr>
      <w:rFonts w:asciiTheme="minorHAnsi" w:eastAsiaTheme="minorHAnsi" w:hAnsiTheme="minorHAnsi" w:cstheme="minorBidi"/>
      <w:sz w:val="20"/>
      <w:lang w:val="en-GB"/>
    </w:rPr>
  </w:style>
  <w:style w:type="character" w:customStyle="1" w:styleId="EndnoteTextChar">
    <w:name w:val="Endnote Text Char"/>
    <w:basedOn w:val="DefaultParagraphFont"/>
    <w:link w:val="EndnoteText"/>
    <w:uiPriority w:val="99"/>
    <w:rsid w:val="007D16BB"/>
    <w:rPr>
      <w:sz w:val="20"/>
      <w:szCs w:val="20"/>
    </w:rPr>
  </w:style>
  <w:style w:type="character" w:styleId="EndnoteReference">
    <w:name w:val="endnote reference"/>
    <w:basedOn w:val="DefaultParagraphFont"/>
    <w:uiPriority w:val="99"/>
    <w:semiHidden/>
    <w:unhideWhenUsed/>
    <w:rsid w:val="007D16BB"/>
    <w:rPr>
      <w:vertAlign w:val="superscript"/>
    </w:rPr>
  </w:style>
  <w:style w:type="paragraph" w:customStyle="1" w:styleId="H3">
    <w:name w:val="H3"/>
    <w:basedOn w:val="Heading2"/>
    <w:link w:val="H3Char"/>
    <w:qFormat/>
    <w:rsid w:val="002B0348"/>
    <w:pPr>
      <w:keepLines w:val="0"/>
      <w:widowControl w:val="0"/>
      <w:numPr>
        <w:ilvl w:val="0"/>
        <w:numId w:val="0"/>
      </w:numPr>
      <w:tabs>
        <w:tab w:val="num" w:pos="284"/>
      </w:tabs>
      <w:adjustRightInd w:val="0"/>
      <w:spacing w:before="240" w:after="60" w:line="360" w:lineRule="atLeast"/>
      <w:ind w:left="851" w:hanging="851"/>
      <w:jc w:val="both"/>
      <w:textAlignment w:val="baseline"/>
    </w:pPr>
    <w:rPr>
      <w:rFonts w:ascii="Segoe UI" w:eastAsia="Times New Roman" w:hAnsi="Segoe UI" w:cs="Segoe UI"/>
      <w:b w:val="0"/>
      <w:bCs w:val="0"/>
      <w:iCs/>
      <w:color w:val="1F497D"/>
      <w:sz w:val="22"/>
      <w:szCs w:val="22"/>
      <w:lang w:val="en-GB"/>
    </w:rPr>
  </w:style>
  <w:style w:type="paragraph" w:customStyle="1" w:styleId="CM1">
    <w:name w:val="CM1"/>
    <w:basedOn w:val="Default"/>
    <w:next w:val="Default"/>
    <w:uiPriority w:val="99"/>
    <w:rsid w:val="002B0348"/>
    <w:rPr>
      <w:rFonts w:ascii="EUAlbertina" w:eastAsia="Times New Roman" w:hAnsi="EUAlbertina" w:cs="Times New Roman"/>
      <w:color w:val="auto"/>
      <w:lang w:eastAsia="en-GB"/>
    </w:rPr>
  </w:style>
  <w:style w:type="character" w:customStyle="1" w:styleId="H3Char">
    <w:name w:val="H3 Char"/>
    <w:basedOn w:val="DefaultParagraphFont"/>
    <w:link w:val="H3"/>
    <w:rsid w:val="002B0348"/>
    <w:rPr>
      <w:rFonts w:ascii="Segoe UI" w:eastAsia="Times New Roman" w:hAnsi="Segoe UI" w:cs="Segoe UI"/>
      <w:b/>
      <w:bCs/>
      <w:iCs/>
      <w:color w:val="1F497D"/>
    </w:rPr>
  </w:style>
  <w:style w:type="paragraph" w:customStyle="1" w:styleId="CM3">
    <w:name w:val="CM3"/>
    <w:basedOn w:val="Default"/>
    <w:next w:val="Default"/>
    <w:uiPriority w:val="99"/>
    <w:rsid w:val="002B0348"/>
    <w:rPr>
      <w:rFonts w:ascii="EUAlbertina" w:eastAsia="Times New Roman" w:hAnsi="EUAlbertina" w:cs="Times New Roman"/>
      <w:color w:val="auto"/>
      <w:lang w:eastAsia="en-GB"/>
    </w:rPr>
  </w:style>
  <w:style w:type="paragraph" w:customStyle="1" w:styleId="CM4">
    <w:name w:val="CM4"/>
    <w:basedOn w:val="Default"/>
    <w:next w:val="Default"/>
    <w:uiPriority w:val="99"/>
    <w:rsid w:val="002B0348"/>
    <w:rPr>
      <w:rFonts w:ascii="EUAlbertina" w:eastAsia="Times New Roman" w:hAnsi="EUAlbertina" w:cs="Times New Roman"/>
      <w:color w:val="auto"/>
      <w:lang w:eastAsia="en-GB"/>
    </w:rPr>
  </w:style>
  <w:style w:type="paragraph" w:styleId="DocumentMap">
    <w:name w:val="Document Map"/>
    <w:basedOn w:val="Normal"/>
    <w:link w:val="DocumentMapChar"/>
    <w:uiPriority w:val="99"/>
    <w:semiHidden/>
    <w:unhideWhenUsed/>
    <w:rsid w:val="00CC523E"/>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C523E"/>
    <w:rPr>
      <w:rFonts w:ascii="Lucida Grande" w:eastAsia="Times New Roman" w:hAnsi="Lucida Grande" w:cs="Lucida Grande"/>
      <w:sz w:val="24"/>
      <w:szCs w:val="24"/>
      <w:lang w:val="en-US"/>
    </w:rPr>
  </w:style>
  <w:style w:type="character" w:customStyle="1" w:styleId="st1">
    <w:name w:val="st1"/>
    <w:basedOn w:val="DefaultParagraphFont"/>
    <w:rsid w:val="00CD78E9"/>
    <w:rPr>
      <w:rFonts w:ascii="Times New Roman" w:hAnsi="Times New Roman" w:cs="Times New Roman" w:hint="default"/>
    </w:rPr>
  </w:style>
  <w:style w:type="paragraph" w:styleId="TOC3">
    <w:name w:val="toc 3"/>
    <w:basedOn w:val="Normal"/>
    <w:next w:val="Normal"/>
    <w:autoRedefine/>
    <w:uiPriority w:val="39"/>
    <w:unhideWhenUsed/>
    <w:rsid w:val="00F4412D"/>
    <w:pPr>
      <w:ind w:left="440"/>
    </w:pPr>
  </w:style>
  <w:style w:type="paragraph" w:styleId="TOC4">
    <w:name w:val="toc 4"/>
    <w:basedOn w:val="Normal"/>
    <w:next w:val="Normal"/>
    <w:autoRedefine/>
    <w:uiPriority w:val="39"/>
    <w:unhideWhenUsed/>
    <w:rsid w:val="00F4412D"/>
    <w:pPr>
      <w:ind w:left="660"/>
    </w:pPr>
  </w:style>
  <w:style w:type="paragraph" w:styleId="TOC5">
    <w:name w:val="toc 5"/>
    <w:basedOn w:val="Normal"/>
    <w:next w:val="Normal"/>
    <w:autoRedefine/>
    <w:uiPriority w:val="39"/>
    <w:unhideWhenUsed/>
    <w:rsid w:val="00F4412D"/>
    <w:pPr>
      <w:ind w:left="880"/>
    </w:pPr>
  </w:style>
  <w:style w:type="paragraph" w:styleId="TOC6">
    <w:name w:val="toc 6"/>
    <w:basedOn w:val="Normal"/>
    <w:next w:val="Normal"/>
    <w:autoRedefine/>
    <w:uiPriority w:val="39"/>
    <w:unhideWhenUsed/>
    <w:rsid w:val="00F4412D"/>
    <w:pPr>
      <w:ind w:left="1100"/>
    </w:pPr>
  </w:style>
  <w:style w:type="paragraph" w:styleId="TOC7">
    <w:name w:val="toc 7"/>
    <w:basedOn w:val="Normal"/>
    <w:next w:val="Normal"/>
    <w:autoRedefine/>
    <w:uiPriority w:val="39"/>
    <w:unhideWhenUsed/>
    <w:rsid w:val="00F4412D"/>
    <w:pPr>
      <w:ind w:left="1320"/>
    </w:pPr>
  </w:style>
  <w:style w:type="paragraph" w:styleId="TOC8">
    <w:name w:val="toc 8"/>
    <w:basedOn w:val="Normal"/>
    <w:next w:val="Normal"/>
    <w:autoRedefine/>
    <w:uiPriority w:val="39"/>
    <w:unhideWhenUsed/>
    <w:rsid w:val="00F4412D"/>
    <w:pPr>
      <w:ind w:left="1540"/>
    </w:pPr>
  </w:style>
  <w:style w:type="paragraph" w:styleId="TOC9">
    <w:name w:val="toc 9"/>
    <w:basedOn w:val="Normal"/>
    <w:next w:val="Normal"/>
    <w:autoRedefine/>
    <w:uiPriority w:val="39"/>
    <w:unhideWhenUsed/>
    <w:rsid w:val="00F4412D"/>
    <w:pPr>
      <w:ind w:left="1760"/>
    </w:pPr>
  </w:style>
  <w:style w:type="paragraph" w:styleId="NormalWeb">
    <w:name w:val="Normal (Web)"/>
    <w:basedOn w:val="Normal"/>
    <w:uiPriority w:val="99"/>
    <w:unhideWhenUsed/>
    <w:rsid w:val="00FC7561"/>
    <w:pPr>
      <w:spacing w:before="100" w:beforeAutospacing="1" w:after="100" w:afterAutospacing="1"/>
      <w:ind w:left="0"/>
    </w:pPr>
    <w:rPr>
      <w:rFonts w:ascii="Times" w:eastAsiaTheme="minorHAnsi" w:hAnsi="Times"/>
      <w:sz w:val="20"/>
      <w:lang w:val="en-GB"/>
    </w:rPr>
  </w:style>
  <w:style w:type="paragraph" w:styleId="CommentSubject">
    <w:name w:val="annotation subject"/>
    <w:basedOn w:val="CommentText"/>
    <w:next w:val="CommentText"/>
    <w:link w:val="CommentSubjectChar"/>
    <w:uiPriority w:val="99"/>
    <w:semiHidden/>
    <w:unhideWhenUsed/>
    <w:rsid w:val="00657B38"/>
    <w:pPr>
      <w:spacing w:after="0"/>
      <w:ind w:left="720"/>
    </w:pPr>
    <w:rPr>
      <w:rFonts w:ascii="Arial" w:eastAsia="Times New Roman" w:hAnsi="Arial" w:cs="Times New Roman"/>
      <w:b/>
      <w:bCs/>
      <w:lang w:val="en-US"/>
    </w:rPr>
  </w:style>
  <w:style w:type="character" w:customStyle="1" w:styleId="CommentSubjectChar">
    <w:name w:val="Comment Subject Char"/>
    <w:basedOn w:val="CommentTextChar"/>
    <w:link w:val="CommentSubject"/>
    <w:uiPriority w:val="99"/>
    <w:semiHidden/>
    <w:rsid w:val="00657B38"/>
    <w:rPr>
      <w:rFonts w:ascii="Arial" w:eastAsia="Times New Roman" w:hAnsi="Arial" w:cs="Times New Roman"/>
      <w:b/>
      <w:bCs/>
      <w:sz w:val="20"/>
      <w:szCs w:val="20"/>
      <w:lang w:val="en-US"/>
    </w:rPr>
  </w:style>
  <w:style w:type="character" w:styleId="FollowedHyperlink">
    <w:name w:val="FollowedHyperlink"/>
    <w:basedOn w:val="DefaultParagraphFont"/>
    <w:uiPriority w:val="99"/>
    <w:semiHidden/>
    <w:unhideWhenUsed/>
    <w:rsid w:val="005803AC"/>
    <w:rPr>
      <w:color w:val="954F72" w:themeColor="followedHyperlink"/>
      <w:u w:val="single"/>
    </w:rPr>
  </w:style>
  <w:style w:type="paragraph" w:styleId="Revision">
    <w:name w:val="Revision"/>
    <w:hidden/>
    <w:uiPriority w:val="99"/>
    <w:semiHidden/>
    <w:rsid w:val="007A174A"/>
    <w:pPr>
      <w:spacing w:after="0" w:line="240" w:lineRule="auto"/>
    </w:pPr>
    <w:rPr>
      <w:rFonts w:ascii="Arial" w:eastAsia="Times New Roman" w:hAnsi="Arial" w:cs="Times New Roman"/>
      <w:szCs w:val="20"/>
      <w:lang w:val="en-US"/>
    </w:rPr>
  </w:style>
  <w:style w:type="character" w:styleId="PageNumber">
    <w:name w:val="page number"/>
    <w:basedOn w:val="DefaultParagraphFont"/>
    <w:uiPriority w:val="99"/>
    <w:semiHidden/>
    <w:unhideWhenUsed/>
    <w:rsid w:val="005D3C44"/>
  </w:style>
  <w:style w:type="character" w:customStyle="1" w:styleId="UnresolvedMention">
    <w:name w:val="Unresolved Mention"/>
    <w:basedOn w:val="DefaultParagraphFont"/>
    <w:uiPriority w:val="99"/>
    <w:semiHidden/>
    <w:unhideWhenUsed/>
    <w:rsid w:val="00635D0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2875">
      <w:bodyDiv w:val="1"/>
      <w:marLeft w:val="0"/>
      <w:marRight w:val="0"/>
      <w:marTop w:val="0"/>
      <w:marBottom w:val="0"/>
      <w:divBdr>
        <w:top w:val="none" w:sz="0" w:space="0" w:color="auto"/>
        <w:left w:val="none" w:sz="0" w:space="0" w:color="auto"/>
        <w:bottom w:val="none" w:sz="0" w:space="0" w:color="auto"/>
        <w:right w:val="none" w:sz="0" w:space="0" w:color="auto"/>
      </w:divBdr>
    </w:div>
    <w:div w:id="294680289">
      <w:bodyDiv w:val="1"/>
      <w:marLeft w:val="0"/>
      <w:marRight w:val="0"/>
      <w:marTop w:val="0"/>
      <w:marBottom w:val="0"/>
      <w:divBdr>
        <w:top w:val="none" w:sz="0" w:space="0" w:color="auto"/>
        <w:left w:val="none" w:sz="0" w:space="0" w:color="auto"/>
        <w:bottom w:val="none" w:sz="0" w:space="0" w:color="auto"/>
        <w:right w:val="none" w:sz="0" w:space="0" w:color="auto"/>
      </w:divBdr>
    </w:div>
    <w:div w:id="579678320">
      <w:bodyDiv w:val="1"/>
      <w:marLeft w:val="0"/>
      <w:marRight w:val="0"/>
      <w:marTop w:val="0"/>
      <w:marBottom w:val="0"/>
      <w:divBdr>
        <w:top w:val="none" w:sz="0" w:space="0" w:color="auto"/>
        <w:left w:val="none" w:sz="0" w:space="0" w:color="auto"/>
        <w:bottom w:val="none" w:sz="0" w:space="0" w:color="auto"/>
        <w:right w:val="none" w:sz="0" w:space="0" w:color="auto"/>
      </w:divBdr>
    </w:div>
    <w:div w:id="581522373">
      <w:bodyDiv w:val="1"/>
      <w:marLeft w:val="0"/>
      <w:marRight w:val="0"/>
      <w:marTop w:val="0"/>
      <w:marBottom w:val="0"/>
      <w:divBdr>
        <w:top w:val="none" w:sz="0" w:space="0" w:color="auto"/>
        <w:left w:val="none" w:sz="0" w:space="0" w:color="auto"/>
        <w:bottom w:val="none" w:sz="0" w:space="0" w:color="auto"/>
        <w:right w:val="none" w:sz="0" w:space="0" w:color="auto"/>
      </w:divBdr>
    </w:div>
    <w:div w:id="610429356">
      <w:bodyDiv w:val="1"/>
      <w:marLeft w:val="0"/>
      <w:marRight w:val="0"/>
      <w:marTop w:val="0"/>
      <w:marBottom w:val="0"/>
      <w:divBdr>
        <w:top w:val="none" w:sz="0" w:space="0" w:color="auto"/>
        <w:left w:val="none" w:sz="0" w:space="0" w:color="auto"/>
        <w:bottom w:val="none" w:sz="0" w:space="0" w:color="auto"/>
        <w:right w:val="none" w:sz="0" w:space="0" w:color="auto"/>
      </w:divBdr>
    </w:div>
    <w:div w:id="836502679">
      <w:bodyDiv w:val="1"/>
      <w:marLeft w:val="0"/>
      <w:marRight w:val="0"/>
      <w:marTop w:val="0"/>
      <w:marBottom w:val="0"/>
      <w:divBdr>
        <w:top w:val="none" w:sz="0" w:space="0" w:color="auto"/>
        <w:left w:val="none" w:sz="0" w:space="0" w:color="auto"/>
        <w:bottom w:val="none" w:sz="0" w:space="0" w:color="auto"/>
        <w:right w:val="none" w:sz="0" w:space="0" w:color="auto"/>
      </w:divBdr>
    </w:div>
    <w:div w:id="899099401">
      <w:bodyDiv w:val="1"/>
      <w:marLeft w:val="0"/>
      <w:marRight w:val="0"/>
      <w:marTop w:val="0"/>
      <w:marBottom w:val="0"/>
      <w:divBdr>
        <w:top w:val="none" w:sz="0" w:space="0" w:color="auto"/>
        <w:left w:val="none" w:sz="0" w:space="0" w:color="auto"/>
        <w:bottom w:val="none" w:sz="0" w:space="0" w:color="auto"/>
        <w:right w:val="none" w:sz="0" w:space="0" w:color="auto"/>
      </w:divBdr>
    </w:div>
    <w:div w:id="912665140">
      <w:bodyDiv w:val="1"/>
      <w:marLeft w:val="0"/>
      <w:marRight w:val="0"/>
      <w:marTop w:val="0"/>
      <w:marBottom w:val="0"/>
      <w:divBdr>
        <w:top w:val="none" w:sz="0" w:space="0" w:color="auto"/>
        <w:left w:val="none" w:sz="0" w:space="0" w:color="auto"/>
        <w:bottom w:val="none" w:sz="0" w:space="0" w:color="auto"/>
        <w:right w:val="none" w:sz="0" w:space="0" w:color="auto"/>
      </w:divBdr>
    </w:div>
    <w:div w:id="1062941844">
      <w:bodyDiv w:val="1"/>
      <w:marLeft w:val="0"/>
      <w:marRight w:val="0"/>
      <w:marTop w:val="0"/>
      <w:marBottom w:val="0"/>
      <w:divBdr>
        <w:top w:val="none" w:sz="0" w:space="0" w:color="auto"/>
        <w:left w:val="none" w:sz="0" w:space="0" w:color="auto"/>
        <w:bottom w:val="none" w:sz="0" w:space="0" w:color="auto"/>
        <w:right w:val="none" w:sz="0" w:space="0" w:color="auto"/>
      </w:divBdr>
    </w:div>
    <w:div w:id="1065253533">
      <w:bodyDiv w:val="1"/>
      <w:marLeft w:val="0"/>
      <w:marRight w:val="0"/>
      <w:marTop w:val="0"/>
      <w:marBottom w:val="0"/>
      <w:divBdr>
        <w:top w:val="none" w:sz="0" w:space="0" w:color="auto"/>
        <w:left w:val="none" w:sz="0" w:space="0" w:color="auto"/>
        <w:bottom w:val="none" w:sz="0" w:space="0" w:color="auto"/>
        <w:right w:val="none" w:sz="0" w:space="0" w:color="auto"/>
      </w:divBdr>
    </w:div>
    <w:div w:id="1156454798">
      <w:bodyDiv w:val="1"/>
      <w:marLeft w:val="0"/>
      <w:marRight w:val="0"/>
      <w:marTop w:val="0"/>
      <w:marBottom w:val="0"/>
      <w:divBdr>
        <w:top w:val="none" w:sz="0" w:space="0" w:color="auto"/>
        <w:left w:val="none" w:sz="0" w:space="0" w:color="auto"/>
        <w:bottom w:val="none" w:sz="0" w:space="0" w:color="auto"/>
        <w:right w:val="none" w:sz="0" w:space="0" w:color="auto"/>
      </w:divBdr>
    </w:div>
    <w:div w:id="1200699788">
      <w:bodyDiv w:val="1"/>
      <w:marLeft w:val="0"/>
      <w:marRight w:val="0"/>
      <w:marTop w:val="0"/>
      <w:marBottom w:val="0"/>
      <w:divBdr>
        <w:top w:val="none" w:sz="0" w:space="0" w:color="auto"/>
        <w:left w:val="none" w:sz="0" w:space="0" w:color="auto"/>
        <w:bottom w:val="none" w:sz="0" w:space="0" w:color="auto"/>
        <w:right w:val="none" w:sz="0" w:space="0" w:color="auto"/>
      </w:divBdr>
    </w:div>
    <w:div w:id="1215196198">
      <w:bodyDiv w:val="1"/>
      <w:marLeft w:val="0"/>
      <w:marRight w:val="0"/>
      <w:marTop w:val="0"/>
      <w:marBottom w:val="0"/>
      <w:divBdr>
        <w:top w:val="none" w:sz="0" w:space="0" w:color="auto"/>
        <w:left w:val="none" w:sz="0" w:space="0" w:color="auto"/>
        <w:bottom w:val="none" w:sz="0" w:space="0" w:color="auto"/>
        <w:right w:val="none" w:sz="0" w:space="0" w:color="auto"/>
      </w:divBdr>
    </w:div>
    <w:div w:id="1251500962">
      <w:bodyDiv w:val="1"/>
      <w:marLeft w:val="0"/>
      <w:marRight w:val="0"/>
      <w:marTop w:val="0"/>
      <w:marBottom w:val="0"/>
      <w:divBdr>
        <w:top w:val="none" w:sz="0" w:space="0" w:color="auto"/>
        <w:left w:val="none" w:sz="0" w:space="0" w:color="auto"/>
        <w:bottom w:val="none" w:sz="0" w:space="0" w:color="auto"/>
        <w:right w:val="none" w:sz="0" w:space="0" w:color="auto"/>
      </w:divBdr>
    </w:div>
    <w:div w:id="1393239769">
      <w:bodyDiv w:val="1"/>
      <w:marLeft w:val="0"/>
      <w:marRight w:val="0"/>
      <w:marTop w:val="0"/>
      <w:marBottom w:val="0"/>
      <w:divBdr>
        <w:top w:val="none" w:sz="0" w:space="0" w:color="auto"/>
        <w:left w:val="none" w:sz="0" w:space="0" w:color="auto"/>
        <w:bottom w:val="none" w:sz="0" w:space="0" w:color="auto"/>
        <w:right w:val="none" w:sz="0" w:space="0" w:color="auto"/>
      </w:divBdr>
    </w:div>
    <w:div w:id="1460488691">
      <w:bodyDiv w:val="1"/>
      <w:marLeft w:val="0"/>
      <w:marRight w:val="0"/>
      <w:marTop w:val="0"/>
      <w:marBottom w:val="0"/>
      <w:divBdr>
        <w:top w:val="none" w:sz="0" w:space="0" w:color="auto"/>
        <w:left w:val="none" w:sz="0" w:space="0" w:color="auto"/>
        <w:bottom w:val="none" w:sz="0" w:space="0" w:color="auto"/>
        <w:right w:val="none" w:sz="0" w:space="0" w:color="auto"/>
      </w:divBdr>
    </w:div>
    <w:div w:id="1555506248">
      <w:bodyDiv w:val="1"/>
      <w:marLeft w:val="0"/>
      <w:marRight w:val="0"/>
      <w:marTop w:val="0"/>
      <w:marBottom w:val="0"/>
      <w:divBdr>
        <w:top w:val="none" w:sz="0" w:space="0" w:color="auto"/>
        <w:left w:val="none" w:sz="0" w:space="0" w:color="auto"/>
        <w:bottom w:val="none" w:sz="0" w:space="0" w:color="auto"/>
        <w:right w:val="none" w:sz="0" w:space="0" w:color="auto"/>
      </w:divBdr>
    </w:div>
    <w:div w:id="1560509101">
      <w:bodyDiv w:val="1"/>
      <w:marLeft w:val="0"/>
      <w:marRight w:val="0"/>
      <w:marTop w:val="0"/>
      <w:marBottom w:val="0"/>
      <w:divBdr>
        <w:top w:val="none" w:sz="0" w:space="0" w:color="auto"/>
        <w:left w:val="none" w:sz="0" w:space="0" w:color="auto"/>
        <w:bottom w:val="none" w:sz="0" w:space="0" w:color="auto"/>
        <w:right w:val="none" w:sz="0" w:space="0" w:color="auto"/>
      </w:divBdr>
    </w:div>
    <w:div w:id="1851021525">
      <w:bodyDiv w:val="1"/>
      <w:marLeft w:val="0"/>
      <w:marRight w:val="0"/>
      <w:marTop w:val="0"/>
      <w:marBottom w:val="0"/>
      <w:divBdr>
        <w:top w:val="none" w:sz="0" w:space="0" w:color="auto"/>
        <w:left w:val="none" w:sz="0" w:space="0" w:color="auto"/>
        <w:bottom w:val="none" w:sz="0" w:space="0" w:color="auto"/>
        <w:right w:val="none" w:sz="0" w:space="0" w:color="auto"/>
      </w:divBdr>
    </w:div>
    <w:div w:id="2004232991">
      <w:bodyDiv w:val="1"/>
      <w:marLeft w:val="0"/>
      <w:marRight w:val="0"/>
      <w:marTop w:val="0"/>
      <w:marBottom w:val="0"/>
      <w:divBdr>
        <w:top w:val="none" w:sz="0" w:space="0" w:color="auto"/>
        <w:left w:val="none" w:sz="0" w:space="0" w:color="auto"/>
        <w:bottom w:val="none" w:sz="0" w:space="0" w:color="auto"/>
        <w:right w:val="none" w:sz="0" w:space="0" w:color="auto"/>
      </w:divBdr>
    </w:div>
    <w:div w:id="208306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emf"/><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emf"/><Relationship Id="rId29" Type="http://schemas.openxmlformats.org/officeDocument/2006/relationships/package" Target="embeddings/Microsoft_Excel_Sheet1.xlsx"/><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7.emf"/><Relationship Id="rId31" Type="http://schemas.openxmlformats.org/officeDocument/2006/relationships/package" Target="embeddings/Microsoft_Excel_Sheet2.xlsx"/><Relationship Id="rId32" Type="http://schemas.openxmlformats.org/officeDocument/2006/relationships/image" Target="media/image18.emf"/><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package" Target="embeddings/Microsoft_Excel_Sheet3.xlsx"/><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emf"/><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emf"/><Relationship Id="rId37" Type="http://schemas.openxmlformats.org/officeDocument/2006/relationships/fontTable" Target="fontTable.xml"/><Relationship Id="rId38" Type="http://schemas.openxmlformats.org/officeDocument/2006/relationships/theme" Target="theme/theme1.xml"/><Relationship Id="rId41" Type="http://schemas.microsoft.com/office/2011/relationships/people" Target="people.xml"/></Relationships>
</file>

<file path=word/_rels/footnotes.xml.rels><?xml version="1.0" encoding="UTF-8" standalone="yes"?>
<Relationships xmlns="http://schemas.openxmlformats.org/package/2006/relationships"><Relationship Id="rId9" Type="http://schemas.openxmlformats.org/officeDocument/2006/relationships/hyperlink" Target="http://eur-lex.europa.eu/legal-content/EN/TXT/PDF/?uri=CELEX:32017R0565&amp;from=EN" TargetMode="External"/><Relationship Id="rId20" Type="http://schemas.openxmlformats.org/officeDocument/2006/relationships/hyperlink" Target="https://www.fca.org.uk/publications/market-studies/asset-management-market-study" TargetMode="External"/><Relationship Id="rId21" Type="http://schemas.openxmlformats.org/officeDocument/2006/relationships/hyperlink" Target="https://www.fca.org.uk/firms/institutional-disclosure-working-group" TargetMode="External"/><Relationship Id="rId22" Type="http://schemas.openxmlformats.org/officeDocument/2006/relationships/hyperlink" Target="https://www.fca.org.uk/publication/documents/idwg-report-fca.pdf" TargetMode="External"/><Relationship Id="rId10" Type="http://schemas.openxmlformats.org/officeDocument/2006/relationships/hyperlink" Target="https://tisauk.sharepoint.com/TISA%20Meetings/MIFID%20II%20ExCo's/MiFID%20Ex%20Co/Costs%20and%20Charges/Costs%20and%20Charges%20Sub%20Group/Good%20Practice%20Guilde/Ibid" TargetMode="External"/><Relationship Id="rId11" Type="http://schemas.openxmlformats.org/officeDocument/2006/relationships/hyperlink" Target="https://www.fca.org.uk/publication/policy/ps17-14.pdf" TargetMode="External"/><Relationship Id="rId12" Type="http://schemas.openxmlformats.org/officeDocument/2006/relationships/hyperlink" Target="http://eur-lex.europa.eu/legal-content/EN/TXT/PDF/?uri=CELEX:32014L0065&amp;qid=1500378369222&amp;from=EN" TargetMode="External"/><Relationship Id="rId13" Type="http://schemas.openxmlformats.org/officeDocument/2006/relationships/hyperlink" Target="http://eur-lex.europa.eu/legal-content/EN/TXT/?uri=CELEX:32013R0231" TargetMode="External"/><Relationship Id="rId14" Type="http://schemas.openxmlformats.org/officeDocument/2006/relationships/hyperlink" Target="http://eur-lex.europa.eu/legal-content/EN/TXT/PDF/?uri=CONSIL:ST_8356_2016_ADD_1&amp;qid=1501680043192&amp;from=EN" TargetMode="External"/><Relationship Id="rId15" Type="http://schemas.openxmlformats.org/officeDocument/2006/relationships/hyperlink" Target="http://eur-lex.europa.eu/legal-content/EN/TXT/PDF/?uri=CELEX:32017R0653&amp;qid=1500379814233&amp;from=EN" TargetMode="External"/><Relationship Id="rId16" Type="http://schemas.openxmlformats.org/officeDocument/2006/relationships/hyperlink" Target="https://esas-joint-committee.europa.eu/Publications/Consultations/Questions%20and%20answers%20on%20the%20PRIIPs%20KID.pdf" TargetMode="External"/><Relationship Id="rId17" Type="http://schemas.openxmlformats.org/officeDocument/2006/relationships/hyperlink" Target="http://www.fca.org.uk/publication/consultation/cp16-29.pdf" TargetMode="External"/><Relationship Id="rId18" Type="http://schemas.openxmlformats.org/officeDocument/2006/relationships/hyperlink" Target="http://www.fca.org.uk/publication/consultation/cp16-29.pdf" TargetMode="External"/><Relationship Id="rId19" Type="http://schemas.openxmlformats.org/officeDocument/2006/relationships/hyperlink" Target="https://www.fca.org.uk/publication/policy/ps17-20.pdf" TargetMode="External"/><Relationship Id="rId1" Type="http://schemas.openxmlformats.org/officeDocument/2006/relationships/hyperlink" Target="http://www.fca.org.uk/publication/policy/ps17-14.pdf" TargetMode="External"/><Relationship Id="rId2" Type="http://schemas.openxmlformats.org/officeDocument/2006/relationships/hyperlink" Target="https://www.theinvestmentassociation.org/members-area/knowledge-centre/key-issues/charges-and-costs-transparency" TargetMode="External"/><Relationship Id="rId3" Type="http://schemas.openxmlformats.org/officeDocument/2006/relationships/hyperlink" Target="https://www.theinvestmentassociation.org/members-area/knowledge-centre/key-issues/charges-and-costs-transparency/" TargetMode="External"/><Relationship Id="rId4" Type="http://schemas.openxmlformats.org/officeDocument/2006/relationships/hyperlink" Target="http://eur-lex.europa.eu/legal-content/EN/TXT/PDF/?uri=CELEX:32017R0653&amp;from=EN" TargetMode="External"/><Relationship Id="rId5" Type="http://schemas.openxmlformats.org/officeDocument/2006/relationships/hyperlink" Target="https://esas-joint-committee.europa.eu/Publications/Consultations/Questions%20and%20answers%20on%20the%20PRIIPs%20KID.pdf" TargetMode="External"/><Relationship Id="rId6" Type="http://schemas.openxmlformats.org/officeDocument/2006/relationships/hyperlink" Target="http://eur-lex.europa.eu/legal-content/EN/TXT/PDF/?uri=CELEX:32017R0565&amp;from=EN" TargetMode="External"/><Relationship Id="rId7" Type="http://schemas.openxmlformats.org/officeDocument/2006/relationships/hyperlink" Target="https://www.theinvestmentassociation.org/members-area/knowledge-centre/current-dossiers/mifid-ii.html" TargetMode="External"/><Relationship Id="rId8" Type="http://schemas.openxmlformats.org/officeDocument/2006/relationships/hyperlink" Target="https://eur-lex.europa.eu/legal-content/EN/TXT/PDF/?uri=CELEX:32014L0065&amp;fr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
</file>

<file path=customXml/item2.xml><?xml version="1.0" encoding="utf-8"?>
<ct:contentTypeSchema xmlns:ct="http://schemas.microsoft.com/office/2006/metadata/contentType" xmlns:ma="http://schemas.microsoft.com/office/2006/metadata/properties/metaAttributes" ct:_="" ma:_="" ma:contentTypeName="Document" ma:contentTypeID="0x010100D11A062FB7CCAD4EBAE7BFEA89BD0809" ma:contentTypeVersion="6" ma:contentTypeDescription="Create a new document." ma:contentTypeScope="" ma:versionID="78f6056d322fd727505b45d439c92309">
  <xsd:schema xmlns:xsd="http://www.w3.org/2001/XMLSchema" xmlns:xs="http://www.w3.org/2001/XMLSchema" xmlns:p="http://schemas.microsoft.com/office/2006/metadata/properties" xmlns:ns2="63ad4f1b-7891-4e99-9a0c-b39c6d049f7f" xmlns:ns3="1ee72e1f-1eb1-4fe3-94b0-79b98126f229" targetNamespace="http://schemas.microsoft.com/office/2006/metadata/properties" ma:root="true" ma:fieldsID="687390aaddc142bafe342b21473a34eb" ns2:_="" ns3:_="">
    <xsd:import namespace="63ad4f1b-7891-4e99-9a0c-b39c6d049f7f"/>
    <xsd:import namespace="1ee72e1f-1eb1-4fe3-94b0-79b98126f22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d4f1b-7891-4e99-9a0c-b39c6d049f7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ee72e1f-1eb1-4fe3-94b0-79b98126f22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FD8DB-8F41-4031-9E65-DE8DF049234B}"/>
</file>

<file path=customXml/itemProps2.xml><?xml version="1.0" encoding="utf-8"?>
<ds:datastoreItem xmlns:ds="http://schemas.openxmlformats.org/officeDocument/2006/customXml" ds:itemID="{7E4B3C42-3A66-4C9F-BB58-E59D48D1C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ad4f1b-7891-4e99-9a0c-b39c6d049f7f"/>
    <ds:schemaRef ds:uri="1ee72e1f-1eb1-4fe3-94b0-79b98126f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A60A8A-42EA-43A5-8158-C923231F71F1}">
  <ds:schemaRefs>
    <ds:schemaRef ds:uri="http://schemas.microsoft.com/sharepoint/v3/contenttype/forms"/>
  </ds:schemaRefs>
</ds:datastoreItem>
</file>

<file path=customXml/itemProps4.xml><?xml version="1.0" encoding="utf-8"?>
<ds:datastoreItem xmlns:ds="http://schemas.openxmlformats.org/officeDocument/2006/customXml" ds:itemID="{6F1E27A8-7966-412D-AFB3-2579AECD9A98}">
  <ds:schemaRefs>
    <ds:schemaRef ds:uri="http://www.w3.org/XML/1998/namespace"/>
    <ds:schemaRef ds:uri="http://schemas.microsoft.com/office/infopath/2007/PartnerControls"/>
    <ds:schemaRef ds:uri="http://schemas.microsoft.com/office/2006/documentManagement/types"/>
    <ds:schemaRef ds:uri="http://purl.org/dc/elements/1.1/"/>
    <ds:schemaRef ds:uri="http://purl.org/dc/terms/"/>
    <ds:schemaRef ds:uri="63ad4f1b-7891-4e99-9a0c-b39c6d049f7f"/>
    <ds:schemaRef ds:uri="http://schemas.openxmlformats.org/package/2006/metadata/core-properties"/>
    <ds:schemaRef ds:uri="1ee72e1f-1eb1-4fe3-94b0-79b98126f229"/>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E2FAC88F-9DDA-6E4A-9183-63AA093F4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69</Pages>
  <Words>18604</Words>
  <Characters>106046</Characters>
  <Application>Microsoft Macintosh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Holland, Marita</dc:creator>
  <dc:description>Classified as IU and Neither on 11/08/2017 by SLCB60</dc:description>
  <cp:lastModifiedBy>Jeffrey Mushens</cp:lastModifiedBy>
  <cp:revision>4</cp:revision>
  <cp:lastPrinted>2017-09-04T09:36:00Z</cp:lastPrinted>
  <dcterms:created xsi:type="dcterms:W3CDTF">2019-02-06T10:07:00Z</dcterms:created>
  <dcterms:modified xsi:type="dcterms:W3CDTF">2019-02-06T10:20:00Z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0x010100D11A062FB7CCAD4EBAE7BFEA89BD0809</vt:lpwstr>
  </property>
  <property fmtid="{D5CDD505-2E9C-101B-9397-08002B2CF9AE}" pid="3" name="docIndexRef">
    <vt:lpwstr>a33dc0c9-15fe-472f-8273-4be77e23276e</vt:lpwstr>
  </property>
  <property fmtid="{D5CDD505-2E9C-101B-9397-08002B2CF9AE}" pid="4" name="bjSaver">
    <vt:lpwstr>6cNgkdNvk3g1QWVZM2NgLZ7+GeIfdmqx</vt:lpwstr>
  </property>
  <property fmtid="{D5CDD505-2E9C-101B-9397-08002B2CF9AE}" pid="5" name="bjDocumentLabelXML">
    <vt:lpwstr>&lt;?xml version="1.0" encoding="us-ascii"?&gt;&lt;sisl xmlns:xsi="http://www.w3.org/2001/XMLSchema-instance" xmlns:xsd="http://www.w3.org/2001/XMLSchema" sislVersion="0" policy="d4161281-19ac-4487-8e19-1947623352c0"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Unrestricted</vt:lpwstr>
  </property>
  <property fmtid="{D5CDD505-2E9C-101B-9397-08002B2CF9AE}" pid="8" name="bjDocumentLabelFieldCode">
    <vt:lpwstr>Unrestricted</vt:lpwstr>
  </property>
  <property fmtid="{D5CDD505-2E9C-101B-9397-08002B2CF9AE}" pid="9" name="bjDocumentLabelFieldCodeHeaderFooter">
    <vt:lpwstr>Unrestricted</vt:lpwstr>
  </property>
  <property fmtid="{D5CDD505-2E9C-101B-9397-08002B2CF9AE}" pid="10" name="BarclaysDC">
    <vt:lpwstr>XBCLASS_UNR</vt:lpwstr>
  </property>
  <property fmtid="{D5CDD505-2E9C-101B-9397-08002B2CF9AE}" pid="11" name="_NewReviewCycle">
    <vt:lpwstr/>
  </property>
  <property fmtid="{D5CDD505-2E9C-101B-9397-08002B2CF9AE}" pid="12" name="XSensitivityLevel">
    <vt:lpwstr>3NS-20</vt:lpwstr>
  </property>
  <property fmtid="{D5CDD505-2E9C-101B-9397-08002B2CF9AE}" pid="13" name="DocumentPath">
    <vt:lpwstr/>
  </property>
  <property fmtid="{D5CDD505-2E9C-101B-9397-08002B2CF9AE}" pid="14" name="xNTACLog1">
    <vt:lpwstr>3NS-20201710161058Scb262;;3NS-20201711281455Scb262</vt:lpwstr>
  </property>
  <property fmtid="{D5CDD505-2E9C-101B-9397-08002B2CF9AE}" pid="15" name="xNTACLog">
    <vt:lpwstr>3NS-20201711281455Scb262</vt:lpwstr>
  </property>
</Properties>
</file>